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4DFF5" w14:textId="7E62853C" w:rsidR="000A547E" w:rsidRDefault="000A547E"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CA0286">
        <w:rPr>
          <w:rFonts w:ascii="Times New Roman" w:hAnsi="Times New Roman" w:cs="Times New Roman"/>
          <w:b/>
          <w:sz w:val="24"/>
          <w:szCs w:val="24"/>
          <w:u w:val="single"/>
        </w:rPr>
        <w:t>LEGAL FRAMEWORK</w:t>
      </w:r>
    </w:p>
    <w:p w14:paraId="74F700A2" w14:textId="51EED75B" w:rsidR="00DE1ACD" w:rsidRPr="00DE1ACD" w:rsidRDefault="00DE1ACD" w:rsidP="00F93875">
      <w:pPr>
        <w:pStyle w:val="ListParagraph"/>
        <w:widowControl w:val="0"/>
        <w:numPr>
          <w:ilvl w:val="1"/>
          <w:numId w:val="2"/>
        </w:numPr>
        <w:spacing w:after="0" w:line="480" w:lineRule="auto"/>
        <w:ind w:hanging="720"/>
        <w:rPr>
          <w:rFonts w:ascii="Times New Roman" w:hAnsi="Times New Roman" w:cs="Times New Roman"/>
          <w:b/>
          <w:sz w:val="24"/>
          <w:szCs w:val="24"/>
          <w:u w:val="single"/>
        </w:rPr>
      </w:pPr>
      <w:r>
        <w:rPr>
          <w:rFonts w:ascii="Times New Roman" w:hAnsi="Times New Roman" w:cs="Times New Roman"/>
          <w:b/>
          <w:sz w:val="24"/>
          <w:szCs w:val="24"/>
        </w:rPr>
        <w:t>STATUTORY</w:t>
      </w:r>
      <w:r w:rsidR="00423A90">
        <w:rPr>
          <w:rFonts w:ascii="Times New Roman" w:hAnsi="Times New Roman" w:cs="Times New Roman"/>
          <w:b/>
          <w:sz w:val="24"/>
          <w:szCs w:val="24"/>
        </w:rPr>
        <w:t xml:space="preserve"> &amp; REGULATORY</w:t>
      </w:r>
      <w:r>
        <w:rPr>
          <w:rFonts w:ascii="Times New Roman" w:hAnsi="Times New Roman" w:cs="Times New Roman"/>
          <w:b/>
          <w:sz w:val="24"/>
          <w:szCs w:val="24"/>
        </w:rPr>
        <w:t xml:space="preserve"> FRAMEWORK</w:t>
      </w:r>
    </w:p>
    <w:p w14:paraId="1A85B2C3" w14:textId="77777777" w:rsidR="00EB3C7D" w:rsidRPr="00EB3C7D" w:rsidRDefault="00EB3C7D" w:rsidP="00DE1ACD">
      <w:pPr>
        <w:pStyle w:val="ListParagraph"/>
        <w:widowControl w:val="0"/>
        <w:numPr>
          <w:ilvl w:val="0"/>
          <w:numId w:val="3"/>
        </w:numPr>
        <w:spacing w:after="0" w:line="480" w:lineRule="auto"/>
        <w:rPr>
          <w:rFonts w:ascii="Times New Roman" w:hAnsi="Times New Roman" w:cs="Times New Roman"/>
          <w:sz w:val="24"/>
          <w:szCs w:val="24"/>
          <w:u w:val="single"/>
        </w:rPr>
      </w:pPr>
      <w:r>
        <w:rPr>
          <w:rFonts w:ascii="Times New Roman" w:hAnsi="Times New Roman" w:cs="Times New Roman"/>
          <w:sz w:val="24"/>
          <w:szCs w:val="24"/>
        </w:rPr>
        <w:t xml:space="preserve">Under </w:t>
      </w:r>
      <w:r w:rsidR="00DE1ACD">
        <w:rPr>
          <w:rFonts w:ascii="Times New Roman" w:hAnsi="Times New Roman" w:cs="Times New Roman"/>
          <w:sz w:val="24"/>
          <w:szCs w:val="24"/>
        </w:rPr>
        <w:t>8 U.S.C. § 1231</w:t>
      </w:r>
      <w:r>
        <w:rPr>
          <w:rFonts w:ascii="Times New Roman" w:hAnsi="Times New Roman" w:cs="Times New Roman"/>
          <w:sz w:val="24"/>
          <w:szCs w:val="24"/>
        </w:rPr>
        <w:t xml:space="preserve">, noncitizens with a final order of removal shall be removed from the United States within a period of 90 days.  8 U.S.C. § 1231(a)(1)(A).  </w:t>
      </w:r>
    </w:p>
    <w:p w14:paraId="7331F4E8" w14:textId="6301415C" w:rsidR="00DE1ACD" w:rsidRPr="00EB3C7D" w:rsidRDefault="00EB3C7D" w:rsidP="00DE1ACD">
      <w:pPr>
        <w:pStyle w:val="ListParagraph"/>
        <w:widowControl w:val="0"/>
        <w:numPr>
          <w:ilvl w:val="0"/>
          <w:numId w:val="3"/>
        </w:numPr>
        <w:spacing w:after="0" w:line="480" w:lineRule="auto"/>
        <w:rPr>
          <w:rFonts w:ascii="Times New Roman" w:hAnsi="Times New Roman" w:cs="Times New Roman"/>
          <w:sz w:val="24"/>
          <w:szCs w:val="24"/>
          <w:u w:val="single"/>
        </w:rPr>
      </w:pPr>
      <w:r>
        <w:rPr>
          <w:rFonts w:ascii="Times New Roman" w:hAnsi="Times New Roman" w:cs="Times New Roman"/>
          <w:sz w:val="24"/>
          <w:szCs w:val="24"/>
        </w:rPr>
        <w:t xml:space="preserve">The beginning of the </w:t>
      </w:r>
      <w:r w:rsidR="008447A9">
        <w:rPr>
          <w:rFonts w:ascii="Times New Roman" w:hAnsi="Times New Roman" w:cs="Times New Roman"/>
          <w:sz w:val="24"/>
          <w:szCs w:val="24"/>
        </w:rPr>
        <w:t xml:space="preserve">90-day </w:t>
      </w:r>
      <w:r>
        <w:rPr>
          <w:rFonts w:ascii="Times New Roman" w:hAnsi="Times New Roman" w:cs="Times New Roman"/>
          <w:sz w:val="24"/>
          <w:szCs w:val="24"/>
        </w:rPr>
        <w:t>removal period is determined by the latest of the following:</w:t>
      </w:r>
    </w:p>
    <w:p w14:paraId="42481360" w14:textId="356200C7" w:rsidR="00EB3C7D" w:rsidRPr="00EB3C7D" w:rsidRDefault="00EB3C7D" w:rsidP="00EB3C7D">
      <w:pPr>
        <w:pStyle w:val="ListParagraph"/>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B3C7D">
        <w:rPr>
          <w:rFonts w:ascii="Times New Roman" w:hAnsi="Times New Roman" w:cs="Times New Roman"/>
          <w:sz w:val="24"/>
          <w:szCs w:val="24"/>
        </w:rPr>
        <w:t>The date the order of removal becomes administratively final.</w:t>
      </w:r>
    </w:p>
    <w:p w14:paraId="621C30D3" w14:textId="77777777" w:rsidR="00EB3C7D" w:rsidRPr="00EB3C7D" w:rsidRDefault="00EB3C7D" w:rsidP="00EB3C7D">
      <w:pPr>
        <w:pStyle w:val="ListParagraph"/>
        <w:widowControl w:val="0"/>
        <w:spacing w:after="0" w:line="240" w:lineRule="auto"/>
        <w:ind w:left="1440"/>
        <w:rPr>
          <w:rFonts w:ascii="Times New Roman" w:hAnsi="Times New Roman" w:cs="Times New Roman"/>
          <w:sz w:val="24"/>
          <w:szCs w:val="24"/>
        </w:rPr>
      </w:pPr>
      <w:r w:rsidRPr="00EB3C7D">
        <w:rPr>
          <w:rFonts w:ascii="Times New Roman" w:hAnsi="Times New Roman" w:cs="Times New Roman"/>
          <w:sz w:val="24"/>
          <w:szCs w:val="24"/>
        </w:rPr>
        <w:t>(ii) If the removal order is judicially reviewed and if a court orders a stay of the removal of the alien, the date of the court’s final order.</w:t>
      </w:r>
    </w:p>
    <w:p w14:paraId="143E34FD" w14:textId="1D48377F" w:rsidR="00EB3C7D" w:rsidRDefault="00EB3C7D" w:rsidP="00EB3C7D">
      <w:pPr>
        <w:pStyle w:val="ListParagraph"/>
        <w:widowControl w:val="0"/>
        <w:spacing w:after="0" w:line="240" w:lineRule="auto"/>
        <w:ind w:left="1440"/>
        <w:rPr>
          <w:rFonts w:ascii="Times New Roman" w:hAnsi="Times New Roman" w:cs="Times New Roman"/>
          <w:sz w:val="24"/>
          <w:szCs w:val="24"/>
        </w:rPr>
      </w:pPr>
      <w:r w:rsidRPr="00EB3C7D">
        <w:rPr>
          <w:rFonts w:ascii="Times New Roman" w:hAnsi="Times New Roman" w:cs="Times New Roman"/>
          <w:sz w:val="24"/>
          <w:szCs w:val="24"/>
        </w:rPr>
        <w:t>(iii) If the alien is detained or confined (except under an immigration process), the date the alien is released from detention or confinement.</w:t>
      </w:r>
    </w:p>
    <w:p w14:paraId="7685BEB4" w14:textId="77777777" w:rsidR="00EB3C7D" w:rsidRDefault="00EB3C7D" w:rsidP="00EB3C7D">
      <w:pPr>
        <w:pStyle w:val="ListParagraph"/>
        <w:widowControl w:val="0"/>
        <w:spacing w:after="0" w:line="240" w:lineRule="auto"/>
        <w:rPr>
          <w:rFonts w:ascii="Times New Roman" w:hAnsi="Times New Roman" w:cs="Times New Roman"/>
          <w:sz w:val="24"/>
          <w:szCs w:val="24"/>
        </w:rPr>
      </w:pPr>
    </w:p>
    <w:p w14:paraId="16ED260E" w14:textId="667642A4" w:rsidR="00EB3C7D" w:rsidRPr="00423A90" w:rsidRDefault="00EB3C7D" w:rsidP="00EB3C7D">
      <w:pPr>
        <w:pStyle w:val="ListParagraph"/>
        <w:widowControl w:val="0"/>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xml:space="preserve"> at § 1231(a)(1)(B).  Where a noncitizen has collaterally challenged removal, such as through a motion to reopen, the underlying removal order remains administratively final unless and until the challenge results in the vacatur of the removal order and proceedings are reopened.  </w:t>
      </w:r>
      <w:r>
        <w:rPr>
          <w:rFonts w:ascii="Times New Roman" w:hAnsi="Times New Roman" w:cs="Times New Roman"/>
          <w:sz w:val="24"/>
          <w:szCs w:val="24"/>
          <w:u w:val="single"/>
        </w:rPr>
        <w:t>See</w:t>
      </w:r>
      <w:r>
        <w:rPr>
          <w:rFonts w:ascii="Times New Roman" w:hAnsi="Times New Roman" w:cs="Times New Roman"/>
          <w:sz w:val="24"/>
          <w:szCs w:val="24"/>
        </w:rPr>
        <w:t xml:space="preserve"> </w:t>
      </w:r>
      <w:r>
        <w:rPr>
          <w:rFonts w:ascii="Times New Roman" w:hAnsi="Times New Roman" w:cs="Times New Roman"/>
          <w:sz w:val="24"/>
          <w:szCs w:val="24"/>
          <w:u w:val="single"/>
        </w:rPr>
        <w:t>Jamal v. Sessions</w:t>
      </w:r>
      <w:r>
        <w:rPr>
          <w:rFonts w:ascii="Times New Roman" w:hAnsi="Times New Roman" w:cs="Times New Roman"/>
          <w:sz w:val="24"/>
          <w:szCs w:val="24"/>
        </w:rPr>
        <w:t xml:space="preserve">, </w:t>
      </w:r>
      <w:r w:rsidR="008447A9">
        <w:rPr>
          <w:rFonts w:ascii="Times New Roman" w:hAnsi="Times New Roman" w:cs="Times New Roman"/>
          <w:sz w:val="24"/>
          <w:szCs w:val="24"/>
        </w:rPr>
        <w:t>No. 5:18-06015-CV-RK, 2018 U.S. Dist. LEXIS 47577, at *5 (W.D. Mo. Mar. 22, 2018) (“</w:t>
      </w:r>
      <w:r w:rsidR="008447A9" w:rsidRPr="008447A9">
        <w:rPr>
          <w:rFonts w:ascii="Times New Roman" w:hAnsi="Times New Roman" w:cs="Times New Roman"/>
          <w:sz w:val="24"/>
          <w:szCs w:val="24"/>
        </w:rPr>
        <w:t xml:space="preserve">Because, here, Petitioner's case is not being judicially reviewed and is not subject to a court-ordered stay, but rather is subject to an administrative stay on collateral appeal, the Court declines to find that Petitioner's </w:t>
      </w:r>
      <w:r w:rsidR="008447A9">
        <w:rPr>
          <w:rFonts w:ascii="Times New Roman" w:hAnsi="Times New Roman" w:cs="Times New Roman"/>
          <w:sz w:val="24"/>
          <w:szCs w:val="24"/>
        </w:rPr>
        <w:t>‘</w:t>
      </w:r>
      <w:r w:rsidR="008447A9" w:rsidRPr="008447A9">
        <w:rPr>
          <w:rFonts w:ascii="Times New Roman" w:hAnsi="Times New Roman" w:cs="Times New Roman"/>
          <w:sz w:val="24"/>
          <w:szCs w:val="24"/>
        </w:rPr>
        <w:t>removal period</w:t>
      </w:r>
      <w:r w:rsidR="008447A9">
        <w:rPr>
          <w:rFonts w:ascii="Times New Roman" w:hAnsi="Times New Roman" w:cs="Times New Roman"/>
          <w:sz w:val="24"/>
          <w:szCs w:val="24"/>
        </w:rPr>
        <w:t>’</w:t>
      </w:r>
      <w:r w:rsidR="008447A9" w:rsidRPr="008447A9">
        <w:rPr>
          <w:rFonts w:ascii="Times New Roman" w:hAnsi="Times New Roman" w:cs="Times New Roman"/>
          <w:sz w:val="24"/>
          <w:szCs w:val="24"/>
        </w:rPr>
        <w:t xml:space="preserve"> has not started under section 1231(a)(1)(B)(ii).</w:t>
      </w:r>
      <w:r w:rsidR="008447A9">
        <w:rPr>
          <w:rFonts w:ascii="Times New Roman" w:hAnsi="Times New Roman" w:cs="Times New Roman"/>
          <w:sz w:val="24"/>
          <w:szCs w:val="24"/>
        </w:rPr>
        <w:t>”)</w:t>
      </w:r>
      <w:r w:rsidR="00423A90">
        <w:rPr>
          <w:rFonts w:ascii="Times New Roman" w:hAnsi="Times New Roman" w:cs="Times New Roman"/>
          <w:sz w:val="24"/>
          <w:szCs w:val="24"/>
        </w:rPr>
        <w:t xml:space="preserve">; </w:t>
      </w:r>
      <w:r w:rsidR="00423A90">
        <w:rPr>
          <w:rFonts w:ascii="Times New Roman" w:hAnsi="Times New Roman" w:cs="Times New Roman"/>
          <w:sz w:val="24"/>
          <w:szCs w:val="24"/>
          <w:u w:val="single"/>
        </w:rPr>
        <w:t>see also</w:t>
      </w:r>
      <w:r w:rsidR="00423A90">
        <w:rPr>
          <w:rFonts w:ascii="Times New Roman" w:hAnsi="Times New Roman" w:cs="Times New Roman"/>
          <w:sz w:val="24"/>
          <w:szCs w:val="24"/>
        </w:rPr>
        <w:t xml:space="preserve"> 8 C.F.R. § 241.4(b)(1).</w:t>
      </w:r>
    </w:p>
    <w:p w14:paraId="6E254D99" w14:textId="75EF94D4" w:rsidR="008447A9" w:rsidRPr="008447A9" w:rsidRDefault="008447A9" w:rsidP="008447A9">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During the removal period, the noncitizen may be detained, and may not be released under any circumstances if found inadmissible or deportable on criminal or national security grounds.</w:t>
      </w:r>
      <w:r w:rsidR="00777E41">
        <w:rPr>
          <w:rFonts w:ascii="Times New Roman" w:hAnsi="Times New Roman" w:cs="Times New Roman"/>
          <w:sz w:val="24"/>
          <w:szCs w:val="24"/>
        </w:rPr>
        <w:t xml:space="preserve">  § 1231(a)(2).</w:t>
      </w:r>
    </w:p>
    <w:p w14:paraId="202655B7" w14:textId="0E783D8C" w:rsidR="008447A9" w:rsidRPr="008447A9" w:rsidRDefault="008447A9" w:rsidP="008447A9">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If the noncitizen is not removed during the 90-day period, he or she “shall be subject to supervision under regulations prescribed by the Attorney General.  The regulations shall include provisions requiring the alien”</w:t>
      </w:r>
    </w:p>
    <w:p w14:paraId="50D30D32" w14:textId="77777777" w:rsidR="008447A9" w:rsidRPr="008447A9" w:rsidRDefault="008447A9" w:rsidP="00777E41">
      <w:pPr>
        <w:widowControl w:val="0"/>
        <w:spacing w:after="0" w:line="240" w:lineRule="auto"/>
        <w:ind w:left="1440"/>
        <w:rPr>
          <w:rFonts w:ascii="Times New Roman" w:hAnsi="Times New Roman" w:cs="Times New Roman"/>
          <w:sz w:val="24"/>
          <w:szCs w:val="24"/>
        </w:rPr>
      </w:pPr>
      <w:r w:rsidRPr="008447A9">
        <w:rPr>
          <w:rFonts w:ascii="Times New Roman" w:hAnsi="Times New Roman" w:cs="Times New Roman"/>
          <w:sz w:val="24"/>
          <w:szCs w:val="24"/>
        </w:rPr>
        <w:lastRenderedPageBreak/>
        <w:t>(A) to appear before an immigration officer periodically for identification;</w:t>
      </w:r>
    </w:p>
    <w:p w14:paraId="4BAE2502" w14:textId="77777777" w:rsidR="008447A9" w:rsidRPr="008447A9" w:rsidRDefault="008447A9" w:rsidP="00777E41">
      <w:pPr>
        <w:widowControl w:val="0"/>
        <w:spacing w:after="0" w:line="240" w:lineRule="auto"/>
        <w:ind w:left="1440"/>
        <w:rPr>
          <w:rFonts w:ascii="Times New Roman" w:hAnsi="Times New Roman" w:cs="Times New Roman"/>
          <w:sz w:val="24"/>
          <w:szCs w:val="24"/>
        </w:rPr>
      </w:pPr>
      <w:r w:rsidRPr="008447A9">
        <w:rPr>
          <w:rFonts w:ascii="Times New Roman" w:hAnsi="Times New Roman" w:cs="Times New Roman"/>
          <w:sz w:val="24"/>
          <w:szCs w:val="24"/>
        </w:rPr>
        <w:t>(B) to submit, if necessary, to a medical and psychiatric examination at the expense of the United States Government;</w:t>
      </w:r>
    </w:p>
    <w:p w14:paraId="72CEA281" w14:textId="77777777" w:rsidR="008447A9" w:rsidRPr="008447A9" w:rsidRDefault="008447A9" w:rsidP="00777E41">
      <w:pPr>
        <w:widowControl w:val="0"/>
        <w:spacing w:after="0" w:line="240" w:lineRule="auto"/>
        <w:ind w:left="1440"/>
        <w:rPr>
          <w:rFonts w:ascii="Times New Roman" w:hAnsi="Times New Roman" w:cs="Times New Roman"/>
          <w:sz w:val="24"/>
          <w:szCs w:val="24"/>
        </w:rPr>
      </w:pPr>
      <w:r w:rsidRPr="008447A9">
        <w:rPr>
          <w:rFonts w:ascii="Times New Roman" w:hAnsi="Times New Roman" w:cs="Times New Roman"/>
          <w:sz w:val="24"/>
          <w:szCs w:val="24"/>
        </w:rPr>
        <w:t>(C) to give information under oath about the alien’s nationality, circumstances, habits, associations, and activities, and other information the Attorney General considers appropriate; and</w:t>
      </w:r>
    </w:p>
    <w:p w14:paraId="35DDD5B0" w14:textId="032D6DE0" w:rsidR="008447A9" w:rsidRDefault="008447A9" w:rsidP="00777E41">
      <w:pPr>
        <w:widowControl w:val="0"/>
        <w:spacing w:after="0" w:line="240" w:lineRule="auto"/>
        <w:ind w:left="1440"/>
        <w:rPr>
          <w:rFonts w:ascii="Times New Roman" w:hAnsi="Times New Roman" w:cs="Times New Roman"/>
          <w:sz w:val="24"/>
          <w:szCs w:val="24"/>
        </w:rPr>
      </w:pPr>
      <w:r w:rsidRPr="008447A9">
        <w:rPr>
          <w:rFonts w:ascii="Times New Roman" w:hAnsi="Times New Roman" w:cs="Times New Roman"/>
          <w:sz w:val="24"/>
          <w:szCs w:val="24"/>
        </w:rPr>
        <w:t>(D) to obey reasonable written restrictions on the alien’s conduct or activities that the Attorney General prescribes for the alien.</w:t>
      </w:r>
    </w:p>
    <w:p w14:paraId="00DCCA60" w14:textId="314C677F" w:rsidR="00777E41" w:rsidRDefault="00777E41" w:rsidP="00777E41">
      <w:pPr>
        <w:widowControl w:val="0"/>
        <w:spacing w:after="0" w:line="240" w:lineRule="auto"/>
        <w:ind w:left="1440"/>
        <w:rPr>
          <w:rFonts w:ascii="Times New Roman" w:hAnsi="Times New Roman" w:cs="Times New Roman"/>
          <w:sz w:val="24"/>
          <w:szCs w:val="24"/>
        </w:rPr>
      </w:pPr>
    </w:p>
    <w:p w14:paraId="5B2B3A76" w14:textId="20A0187F" w:rsidR="00777E41" w:rsidRDefault="00777E41" w:rsidP="00777E4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1231(a)(3).</w:t>
      </w:r>
    </w:p>
    <w:p w14:paraId="44A03764" w14:textId="77777777" w:rsidR="00777E41" w:rsidRPr="008447A9" w:rsidRDefault="00777E41" w:rsidP="00777E41">
      <w:pPr>
        <w:widowControl w:val="0"/>
        <w:spacing w:after="0" w:line="240" w:lineRule="auto"/>
        <w:ind w:left="1440"/>
        <w:rPr>
          <w:rFonts w:ascii="Times New Roman" w:hAnsi="Times New Roman" w:cs="Times New Roman"/>
          <w:sz w:val="24"/>
          <w:szCs w:val="24"/>
        </w:rPr>
      </w:pPr>
    </w:p>
    <w:p w14:paraId="7823BF8B" w14:textId="7921CC39" w:rsidR="008447A9" w:rsidRPr="00423A90" w:rsidRDefault="00777E41" w:rsidP="008447A9">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The removal period may be extended beyond 90 days and the noncitizen may remain detained if the noncitizen frustrates his or her removal.  § 1231(a)(1)(C).</w:t>
      </w:r>
    </w:p>
    <w:p w14:paraId="72CEB75D" w14:textId="465F7AE4" w:rsidR="00423A90" w:rsidRPr="00423A90" w:rsidRDefault="00423A90" w:rsidP="008447A9">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Alternatively, the noncitizen may be detained beyond the 90 days if he or she is inadmissible under § 1182 or removable under various sections of § 1227, or determined to be a risk to the community or unlikely to comply with the order of removal.  § 1231(a)(6); 8 C.F.R. § 241.4(a).</w:t>
      </w:r>
    </w:p>
    <w:p w14:paraId="58490D9E" w14:textId="66AEBAD9" w:rsidR="00DB3941" w:rsidRPr="00DB3941" w:rsidRDefault="00DB3941" w:rsidP="00DB3941">
      <w:pPr>
        <w:pStyle w:val="ListParagraph"/>
        <w:widowControl w:val="0"/>
        <w:numPr>
          <w:ilvl w:val="1"/>
          <w:numId w:val="2"/>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AGENCY REVIEW OF CUSTODY</w:t>
      </w:r>
    </w:p>
    <w:p w14:paraId="429E46EA" w14:textId="7F180A1E" w:rsidR="00E9429A" w:rsidRPr="00E9429A" w:rsidRDefault="00E9429A" w:rsidP="008447A9">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DHS may release an alien if the alien demonstrates that he or she is not a danger to the community or a flight risk.  </w:t>
      </w:r>
      <w:r>
        <w:rPr>
          <w:rFonts w:ascii="Times New Roman" w:hAnsi="Times New Roman" w:cs="Times New Roman"/>
          <w:sz w:val="24"/>
          <w:szCs w:val="24"/>
          <w:u w:val="single"/>
        </w:rPr>
        <w:t>Id.</w:t>
      </w:r>
      <w:r>
        <w:rPr>
          <w:rFonts w:ascii="Times New Roman" w:hAnsi="Times New Roman" w:cs="Times New Roman"/>
          <w:sz w:val="24"/>
          <w:szCs w:val="24"/>
        </w:rPr>
        <w:t xml:space="preserve"> at § 241.4(d)(1)</w:t>
      </w:r>
      <w:r w:rsidR="00DB3941">
        <w:rPr>
          <w:rFonts w:ascii="Times New Roman" w:hAnsi="Times New Roman" w:cs="Times New Roman"/>
          <w:sz w:val="24"/>
          <w:szCs w:val="24"/>
        </w:rPr>
        <w:t xml:space="preserve">; </w:t>
      </w:r>
      <w:r w:rsidR="00DB3941">
        <w:rPr>
          <w:rFonts w:ascii="Times New Roman" w:hAnsi="Times New Roman" w:cs="Times New Roman"/>
          <w:sz w:val="24"/>
          <w:szCs w:val="24"/>
          <w:u w:val="single"/>
        </w:rPr>
        <w:t>see</w:t>
      </w:r>
      <w:r w:rsidR="00DB3941">
        <w:rPr>
          <w:rFonts w:ascii="Times New Roman" w:hAnsi="Times New Roman" w:cs="Times New Roman"/>
          <w:sz w:val="24"/>
          <w:szCs w:val="24"/>
        </w:rPr>
        <w:t xml:space="preserve"> </w:t>
      </w:r>
      <w:proofErr w:type="spellStart"/>
      <w:r w:rsidR="00DB3941">
        <w:rPr>
          <w:rFonts w:ascii="Times New Roman" w:hAnsi="Times New Roman" w:cs="Times New Roman"/>
          <w:sz w:val="24"/>
          <w:szCs w:val="24"/>
          <w:u w:val="single"/>
        </w:rPr>
        <w:t>Moallin</w:t>
      </w:r>
      <w:proofErr w:type="spellEnd"/>
      <w:r w:rsidR="00DB3941">
        <w:rPr>
          <w:rFonts w:ascii="Times New Roman" w:hAnsi="Times New Roman" w:cs="Times New Roman"/>
          <w:sz w:val="24"/>
          <w:szCs w:val="24"/>
          <w:u w:val="single"/>
        </w:rPr>
        <w:t xml:space="preserve"> v. </w:t>
      </w:r>
      <w:proofErr w:type="spellStart"/>
      <w:r w:rsidR="00DB3941">
        <w:rPr>
          <w:rFonts w:ascii="Times New Roman" w:hAnsi="Times New Roman" w:cs="Times New Roman"/>
          <w:sz w:val="24"/>
          <w:szCs w:val="24"/>
          <w:u w:val="single"/>
        </w:rPr>
        <w:t>Cangemi</w:t>
      </w:r>
      <w:proofErr w:type="spellEnd"/>
      <w:r w:rsidR="00DB3941">
        <w:rPr>
          <w:rFonts w:ascii="Times New Roman" w:hAnsi="Times New Roman" w:cs="Times New Roman"/>
          <w:sz w:val="24"/>
          <w:szCs w:val="24"/>
        </w:rPr>
        <w:t>, 427 F. Supp. 2d 908, 913–14 (D. Minn. 2006) (describing agency review process)</w:t>
      </w:r>
      <w:r>
        <w:rPr>
          <w:rFonts w:ascii="Times New Roman" w:hAnsi="Times New Roman" w:cs="Times New Roman"/>
          <w:sz w:val="24"/>
          <w:szCs w:val="24"/>
        </w:rPr>
        <w:t>.  DHS must conclude that:</w:t>
      </w:r>
    </w:p>
    <w:p w14:paraId="6C088882" w14:textId="66EAD374"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(1) Travel documents for the alien are not available or, in the opinion of the Service, immediate removal, while proper, is otherwise not practicable or not in the public interest;</w:t>
      </w:r>
    </w:p>
    <w:p w14:paraId="0B2C85EC" w14:textId="77777777" w:rsidR="00450E74" w:rsidRDefault="00450E74" w:rsidP="00E9429A">
      <w:pPr>
        <w:pStyle w:val="ListParagraph"/>
        <w:widowControl w:val="0"/>
        <w:spacing w:after="0" w:line="240" w:lineRule="auto"/>
        <w:ind w:left="1440"/>
        <w:rPr>
          <w:rFonts w:ascii="Times New Roman" w:hAnsi="Times New Roman" w:cs="Times New Roman"/>
          <w:sz w:val="24"/>
          <w:szCs w:val="24"/>
        </w:rPr>
      </w:pPr>
    </w:p>
    <w:p w14:paraId="5A89BB48" w14:textId="6962B7A8"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(2) The detainee is presently a non-violent person;</w:t>
      </w:r>
    </w:p>
    <w:p w14:paraId="7AE37E0E" w14:textId="77777777" w:rsidR="00450E74" w:rsidRDefault="00450E74" w:rsidP="00E9429A">
      <w:pPr>
        <w:pStyle w:val="ListParagraph"/>
        <w:widowControl w:val="0"/>
        <w:spacing w:after="0" w:line="240" w:lineRule="auto"/>
        <w:ind w:left="1440"/>
        <w:rPr>
          <w:rFonts w:ascii="Times New Roman" w:hAnsi="Times New Roman" w:cs="Times New Roman"/>
          <w:sz w:val="24"/>
          <w:szCs w:val="24"/>
        </w:rPr>
      </w:pPr>
    </w:p>
    <w:p w14:paraId="4210D112" w14:textId="461A52B3"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(3) The detainee is likely to remain nonviolent if released;</w:t>
      </w:r>
    </w:p>
    <w:p w14:paraId="21387CD6" w14:textId="77777777" w:rsidR="00450E74" w:rsidRDefault="00450E74" w:rsidP="00E9429A">
      <w:pPr>
        <w:pStyle w:val="ListParagraph"/>
        <w:widowControl w:val="0"/>
        <w:spacing w:after="0" w:line="240" w:lineRule="auto"/>
        <w:ind w:left="1440"/>
        <w:rPr>
          <w:rFonts w:ascii="Times New Roman" w:hAnsi="Times New Roman" w:cs="Times New Roman"/>
          <w:sz w:val="24"/>
          <w:szCs w:val="24"/>
        </w:rPr>
      </w:pPr>
    </w:p>
    <w:p w14:paraId="793DB68F" w14:textId="0467E7E9"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(4) The detainee is not likely to pose a threat to the community following release;</w:t>
      </w:r>
    </w:p>
    <w:p w14:paraId="6C794324" w14:textId="77777777" w:rsidR="00450E74" w:rsidRDefault="00450E74" w:rsidP="00E9429A">
      <w:pPr>
        <w:pStyle w:val="ListParagraph"/>
        <w:widowControl w:val="0"/>
        <w:spacing w:after="0" w:line="240" w:lineRule="auto"/>
        <w:ind w:left="1440"/>
        <w:rPr>
          <w:rFonts w:ascii="Times New Roman" w:hAnsi="Times New Roman" w:cs="Times New Roman"/>
          <w:sz w:val="24"/>
          <w:szCs w:val="24"/>
        </w:rPr>
      </w:pPr>
    </w:p>
    <w:p w14:paraId="1D58CA50" w14:textId="0F19D125"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(5) The detainee is not likely to violate the conditions of release; and</w:t>
      </w:r>
    </w:p>
    <w:p w14:paraId="5AFDC17D" w14:textId="77777777" w:rsidR="00450E74" w:rsidRDefault="00450E74" w:rsidP="00E9429A">
      <w:pPr>
        <w:pStyle w:val="ListParagraph"/>
        <w:widowControl w:val="0"/>
        <w:spacing w:after="0" w:line="240" w:lineRule="auto"/>
        <w:ind w:left="1440"/>
        <w:rPr>
          <w:rFonts w:ascii="Times New Roman" w:hAnsi="Times New Roman" w:cs="Times New Roman"/>
          <w:sz w:val="24"/>
          <w:szCs w:val="24"/>
        </w:rPr>
      </w:pPr>
    </w:p>
    <w:p w14:paraId="78C32B4B" w14:textId="0311BFF5" w:rsidR="00E9429A" w:rsidRDefault="00E9429A" w:rsidP="00E9429A">
      <w:pPr>
        <w:pStyle w:val="ListParagraph"/>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(6) The detainee does not pose a significant flight risk if released.</w:t>
      </w:r>
    </w:p>
    <w:p w14:paraId="71B0134A" w14:textId="0AE0F266" w:rsidR="00E9429A" w:rsidRDefault="00E9429A" w:rsidP="00E9429A">
      <w:pPr>
        <w:pStyle w:val="ListParagraph"/>
        <w:widowControl w:val="0"/>
        <w:spacing w:after="0" w:line="240" w:lineRule="auto"/>
        <w:ind w:left="1440"/>
        <w:rPr>
          <w:rFonts w:ascii="Times New Roman" w:hAnsi="Times New Roman" w:cs="Times New Roman"/>
          <w:sz w:val="24"/>
          <w:szCs w:val="24"/>
        </w:rPr>
      </w:pPr>
    </w:p>
    <w:p w14:paraId="72BFF7E9" w14:textId="555BC7E7" w:rsidR="00E9429A" w:rsidRPr="00E9429A" w:rsidRDefault="00E9429A" w:rsidP="00E9429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Id.</w:t>
      </w:r>
      <w:r>
        <w:rPr>
          <w:rFonts w:ascii="Times New Roman" w:hAnsi="Times New Roman" w:cs="Times New Roman"/>
          <w:sz w:val="24"/>
          <w:szCs w:val="24"/>
        </w:rPr>
        <w:t xml:space="preserve"> at § 241.4(e).</w:t>
      </w:r>
    </w:p>
    <w:p w14:paraId="32FAEC71" w14:textId="77777777" w:rsidR="00E9429A" w:rsidRPr="00E9429A" w:rsidRDefault="00E9429A" w:rsidP="00E9429A">
      <w:pPr>
        <w:pStyle w:val="ListParagraph"/>
        <w:widowControl w:val="0"/>
        <w:spacing w:after="0" w:line="240" w:lineRule="auto"/>
        <w:ind w:left="1440"/>
        <w:rPr>
          <w:rFonts w:ascii="Times New Roman" w:hAnsi="Times New Roman" w:cs="Times New Roman"/>
          <w:sz w:val="24"/>
          <w:szCs w:val="24"/>
        </w:rPr>
      </w:pPr>
    </w:p>
    <w:p w14:paraId="6E44A70D" w14:textId="3454B46D" w:rsidR="00E9429A" w:rsidRPr="00E9429A" w:rsidRDefault="00E9429A" w:rsidP="00E9429A">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E9429A">
        <w:rPr>
          <w:rFonts w:ascii="Times New Roman" w:hAnsi="Times New Roman" w:cs="Times New Roman"/>
          <w:sz w:val="24"/>
          <w:szCs w:val="24"/>
        </w:rPr>
        <w:t>The following factors should be weighed in considering whether to recommend further detention or release of a detainee:</w:t>
      </w:r>
      <w:r>
        <w:rPr>
          <w:rFonts w:ascii="Times New Roman" w:hAnsi="Times New Roman" w:cs="Times New Roman"/>
          <w:sz w:val="24"/>
          <w:szCs w:val="24"/>
        </w:rPr>
        <w:t>”</w:t>
      </w:r>
    </w:p>
    <w:p w14:paraId="041B3A81" w14:textId="77777777"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(1) The nature and number of disciplinary infractions or incident reports received when incarcerated or while in Service custody;</w:t>
      </w:r>
    </w:p>
    <w:p w14:paraId="34101E2F" w14:textId="77777777" w:rsidR="00450E74" w:rsidRDefault="00450E74" w:rsidP="00E9429A">
      <w:pPr>
        <w:widowControl w:val="0"/>
        <w:spacing w:after="0" w:line="240" w:lineRule="auto"/>
        <w:ind w:left="1440"/>
        <w:rPr>
          <w:rFonts w:ascii="Times New Roman" w:hAnsi="Times New Roman" w:cs="Times New Roman"/>
          <w:sz w:val="24"/>
          <w:szCs w:val="24"/>
        </w:rPr>
      </w:pPr>
    </w:p>
    <w:p w14:paraId="52ABCFEB" w14:textId="07391610"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 xml:space="preserve">(2) The detainee's criminal conduct and criminal convictions, including consideration of the nature and severity of the alien's convictions, sentences </w:t>
      </w:r>
      <w:proofErr w:type="gramStart"/>
      <w:r w:rsidRPr="00E9429A">
        <w:rPr>
          <w:rFonts w:ascii="Times New Roman" w:hAnsi="Times New Roman" w:cs="Times New Roman"/>
          <w:sz w:val="24"/>
          <w:szCs w:val="24"/>
        </w:rPr>
        <w:t>imposed</w:t>
      </w:r>
      <w:proofErr w:type="gramEnd"/>
      <w:r w:rsidRPr="00E9429A">
        <w:rPr>
          <w:rFonts w:ascii="Times New Roman" w:hAnsi="Times New Roman" w:cs="Times New Roman"/>
          <w:sz w:val="24"/>
          <w:szCs w:val="24"/>
        </w:rPr>
        <w:t xml:space="preserve"> and time actually served, probation and criminal parole history, evidence of recidivism, and other criminal history;</w:t>
      </w:r>
    </w:p>
    <w:p w14:paraId="6778253A" w14:textId="77777777" w:rsidR="00450E74" w:rsidRDefault="00450E74" w:rsidP="00E9429A">
      <w:pPr>
        <w:widowControl w:val="0"/>
        <w:spacing w:after="0" w:line="240" w:lineRule="auto"/>
        <w:ind w:left="1440"/>
        <w:rPr>
          <w:rFonts w:ascii="Times New Roman" w:hAnsi="Times New Roman" w:cs="Times New Roman"/>
          <w:sz w:val="24"/>
          <w:szCs w:val="24"/>
        </w:rPr>
      </w:pPr>
    </w:p>
    <w:p w14:paraId="5341D554" w14:textId="06CFA84C"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(3) Any available psychiatric and psychological reports pertaining to the detainee's mental health;</w:t>
      </w:r>
    </w:p>
    <w:p w14:paraId="76BE8A61" w14:textId="77777777" w:rsidR="00450E74" w:rsidRDefault="00450E74" w:rsidP="00E9429A">
      <w:pPr>
        <w:widowControl w:val="0"/>
        <w:spacing w:after="0" w:line="240" w:lineRule="auto"/>
        <w:ind w:left="1440"/>
        <w:rPr>
          <w:rFonts w:ascii="Times New Roman" w:hAnsi="Times New Roman" w:cs="Times New Roman"/>
          <w:sz w:val="24"/>
          <w:szCs w:val="24"/>
        </w:rPr>
      </w:pPr>
    </w:p>
    <w:p w14:paraId="1CBB8F50" w14:textId="727111A3"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(4) Evidence of rehabilitation including institutional progress relating to participation in work, educational, and vocational programs, where available;</w:t>
      </w:r>
    </w:p>
    <w:p w14:paraId="3D0E8E2C" w14:textId="77777777" w:rsidR="00450E74" w:rsidRDefault="00450E74" w:rsidP="00E9429A">
      <w:pPr>
        <w:widowControl w:val="0"/>
        <w:spacing w:after="0" w:line="240" w:lineRule="auto"/>
        <w:ind w:left="1440"/>
        <w:rPr>
          <w:rFonts w:ascii="Times New Roman" w:hAnsi="Times New Roman" w:cs="Times New Roman"/>
          <w:sz w:val="24"/>
          <w:szCs w:val="24"/>
        </w:rPr>
      </w:pPr>
    </w:p>
    <w:p w14:paraId="57998516" w14:textId="0955D665"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(5) Favorable factors, including ties to the United States such as the number of close relatives residing here lawfully;</w:t>
      </w:r>
    </w:p>
    <w:p w14:paraId="388CB704" w14:textId="77777777" w:rsidR="00450E74" w:rsidRDefault="00450E74" w:rsidP="00E9429A">
      <w:pPr>
        <w:widowControl w:val="0"/>
        <w:spacing w:after="0" w:line="240" w:lineRule="auto"/>
        <w:ind w:left="1440"/>
        <w:rPr>
          <w:rFonts w:ascii="Times New Roman" w:hAnsi="Times New Roman" w:cs="Times New Roman"/>
          <w:sz w:val="24"/>
          <w:szCs w:val="24"/>
        </w:rPr>
      </w:pPr>
    </w:p>
    <w:p w14:paraId="30D22913" w14:textId="4073E108"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(6) Prior immigration violations and history;</w:t>
      </w:r>
    </w:p>
    <w:p w14:paraId="709C8A55" w14:textId="77777777" w:rsidR="00450E74" w:rsidRDefault="00450E74" w:rsidP="00E9429A">
      <w:pPr>
        <w:widowControl w:val="0"/>
        <w:spacing w:after="0" w:line="240" w:lineRule="auto"/>
        <w:ind w:left="1440"/>
        <w:rPr>
          <w:rFonts w:ascii="Times New Roman" w:hAnsi="Times New Roman" w:cs="Times New Roman"/>
          <w:sz w:val="24"/>
          <w:szCs w:val="24"/>
        </w:rPr>
      </w:pPr>
    </w:p>
    <w:p w14:paraId="58E381F2" w14:textId="459E9A91"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(7) The likelihood that the alien is a significant flight risk or may abscond to avoid removal, including history of escapes, failures to appear for immigration or other proceedings, absence without leave from any halfway house or sponsorship program, and other defaults; and</w:t>
      </w:r>
    </w:p>
    <w:p w14:paraId="3C8E995F" w14:textId="77777777" w:rsidR="00450E74" w:rsidRDefault="00450E74" w:rsidP="00E9429A">
      <w:pPr>
        <w:widowControl w:val="0"/>
        <w:spacing w:after="0" w:line="240" w:lineRule="auto"/>
        <w:ind w:left="1440"/>
        <w:rPr>
          <w:rFonts w:ascii="Times New Roman" w:hAnsi="Times New Roman" w:cs="Times New Roman"/>
          <w:sz w:val="24"/>
          <w:szCs w:val="24"/>
        </w:rPr>
      </w:pPr>
    </w:p>
    <w:p w14:paraId="4571B831" w14:textId="6FE197EF" w:rsidR="00E9429A" w:rsidRPr="00E9429A" w:rsidRDefault="00E9429A" w:rsidP="00E9429A">
      <w:pPr>
        <w:widowControl w:val="0"/>
        <w:spacing w:after="0" w:line="240" w:lineRule="auto"/>
        <w:ind w:left="1440"/>
        <w:rPr>
          <w:rFonts w:ascii="Times New Roman" w:hAnsi="Times New Roman" w:cs="Times New Roman"/>
          <w:sz w:val="24"/>
          <w:szCs w:val="24"/>
        </w:rPr>
      </w:pPr>
      <w:r w:rsidRPr="00E9429A">
        <w:rPr>
          <w:rFonts w:ascii="Times New Roman" w:hAnsi="Times New Roman" w:cs="Times New Roman"/>
          <w:sz w:val="24"/>
          <w:szCs w:val="24"/>
        </w:rPr>
        <w:t>(8) Any other information that is probative of whether the alien is likely to -</w:t>
      </w:r>
    </w:p>
    <w:p w14:paraId="36B40884" w14:textId="77777777" w:rsidR="00E9429A" w:rsidRPr="00E9429A" w:rsidRDefault="00E9429A" w:rsidP="00E9429A">
      <w:pPr>
        <w:widowControl w:val="0"/>
        <w:spacing w:after="0" w:line="240" w:lineRule="auto"/>
        <w:ind w:left="1440"/>
        <w:rPr>
          <w:rFonts w:ascii="Times New Roman" w:hAnsi="Times New Roman" w:cs="Times New Roman"/>
          <w:sz w:val="24"/>
          <w:szCs w:val="24"/>
        </w:rPr>
      </w:pPr>
    </w:p>
    <w:p w14:paraId="33B78C31" w14:textId="462B8BE7" w:rsidR="00E9429A" w:rsidRDefault="00E9429A" w:rsidP="00E9429A">
      <w:pPr>
        <w:widowControl w:val="0"/>
        <w:spacing w:after="0" w:line="240" w:lineRule="auto"/>
        <w:ind w:left="2160"/>
        <w:rPr>
          <w:rFonts w:ascii="Times New Roman" w:hAnsi="Times New Roman" w:cs="Times New Roman"/>
          <w:sz w:val="24"/>
          <w:szCs w:val="24"/>
        </w:rPr>
      </w:pPr>
      <w:r w:rsidRPr="00E9429A">
        <w:rPr>
          <w:rFonts w:ascii="Times New Roman" w:hAnsi="Times New Roman" w:cs="Times New Roman"/>
          <w:sz w:val="24"/>
          <w:szCs w:val="24"/>
        </w:rPr>
        <w:t>(</w:t>
      </w:r>
      <w:proofErr w:type="spellStart"/>
      <w:r w:rsidRPr="00E9429A">
        <w:rPr>
          <w:rFonts w:ascii="Times New Roman" w:hAnsi="Times New Roman" w:cs="Times New Roman"/>
          <w:sz w:val="24"/>
          <w:szCs w:val="24"/>
        </w:rPr>
        <w:t>i</w:t>
      </w:r>
      <w:proofErr w:type="spellEnd"/>
      <w:r w:rsidRPr="00E9429A">
        <w:rPr>
          <w:rFonts w:ascii="Times New Roman" w:hAnsi="Times New Roman" w:cs="Times New Roman"/>
          <w:sz w:val="24"/>
          <w:szCs w:val="24"/>
        </w:rPr>
        <w:t>) Adjust to life in a community,</w:t>
      </w:r>
    </w:p>
    <w:p w14:paraId="0FA2EAC6" w14:textId="77777777" w:rsidR="00450E74" w:rsidRPr="00E9429A" w:rsidRDefault="00450E74" w:rsidP="00E9429A">
      <w:pPr>
        <w:widowControl w:val="0"/>
        <w:spacing w:after="0" w:line="240" w:lineRule="auto"/>
        <w:ind w:left="2160"/>
        <w:rPr>
          <w:rFonts w:ascii="Times New Roman" w:hAnsi="Times New Roman" w:cs="Times New Roman"/>
          <w:sz w:val="24"/>
          <w:szCs w:val="24"/>
        </w:rPr>
      </w:pPr>
    </w:p>
    <w:p w14:paraId="7FECD8C2" w14:textId="77777777" w:rsidR="00E9429A" w:rsidRPr="00E9429A" w:rsidRDefault="00E9429A" w:rsidP="00E9429A">
      <w:pPr>
        <w:widowControl w:val="0"/>
        <w:spacing w:after="0" w:line="240" w:lineRule="auto"/>
        <w:ind w:left="2160"/>
        <w:rPr>
          <w:rFonts w:ascii="Times New Roman" w:hAnsi="Times New Roman" w:cs="Times New Roman"/>
          <w:sz w:val="24"/>
          <w:szCs w:val="24"/>
        </w:rPr>
      </w:pPr>
      <w:r w:rsidRPr="00E9429A">
        <w:rPr>
          <w:rFonts w:ascii="Times New Roman" w:hAnsi="Times New Roman" w:cs="Times New Roman"/>
          <w:sz w:val="24"/>
          <w:szCs w:val="24"/>
        </w:rPr>
        <w:t>(ii) Engage in future acts of violence,</w:t>
      </w:r>
    </w:p>
    <w:p w14:paraId="0295EFA3" w14:textId="77777777" w:rsidR="00450E74" w:rsidRDefault="00450E74" w:rsidP="00E9429A">
      <w:pPr>
        <w:widowControl w:val="0"/>
        <w:spacing w:after="0" w:line="240" w:lineRule="auto"/>
        <w:ind w:left="2160"/>
        <w:rPr>
          <w:rFonts w:ascii="Times New Roman" w:hAnsi="Times New Roman" w:cs="Times New Roman"/>
          <w:sz w:val="24"/>
          <w:szCs w:val="24"/>
        </w:rPr>
      </w:pPr>
    </w:p>
    <w:p w14:paraId="2C97663D" w14:textId="19238444" w:rsidR="00E9429A" w:rsidRPr="00E9429A" w:rsidRDefault="00E9429A" w:rsidP="00E9429A">
      <w:pPr>
        <w:widowControl w:val="0"/>
        <w:spacing w:after="0" w:line="240" w:lineRule="auto"/>
        <w:ind w:left="2160"/>
        <w:rPr>
          <w:rFonts w:ascii="Times New Roman" w:hAnsi="Times New Roman" w:cs="Times New Roman"/>
          <w:sz w:val="24"/>
          <w:szCs w:val="24"/>
        </w:rPr>
      </w:pPr>
      <w:r w:rsidRPr="00E9429A">
        <w:rPr>
          <w:rFonts w:ascii="Times New Roman" w:hAnsi="Times New Roman" w:cs="Times New Roman"/>
          <w:sz w:val="24"/>
          <w:szCs w:val="24"/>
        </w:rPr>
        <w:t>(iii) Engage in future criminal activity,</w:t>
      </w:r>
    </w:p>
    <w:p w14:paraId="0437F2EC" w14:textId="77777777" w:rsidR="00450E74" w:rsidRDefault="00450E74" w:rsidP="00E9429A">
      <w:pPr>
        <w:widowControl w:val="0"/>
        <w:spacing w:after="0" w:line="240" w:lineRule="auto"/>
        <w:ind w:left="2160"/>
        <w:rPr>
          <w:rFonts w:ascii="Times New Roman" w:hAnsi="Times New Roman" w:cs="Times New Roman"/>
          <w:sz w:val="24"/>
          <w:szCs w:val="24"/>
        </w:rPr>
      </w:pPr>
    </w:p>
    <w:p w14:paraId="15C37204" w14:textId="4D16F168" w:rsidR="00E9429A" w:rsidRPr="00E9429A" w:rsidRDefault="00E9429A" w:rsidP="00E9429A">
      <w:pPr>
        <w:widowControl w:val="0"/>
        <w:spacing w:after="0" w:line="240" w:lineRule="auto"/>
        <w:ind w:left="2160"/>
        <w:rPr>
          <w:rFonts w:ascii="Times New Roman" w:hAnsi="Times New Roman" w:cs="Times New Roman"/>
          <w:sz w:val="24"/>
          <w:szCs w:val="24"/>
        </w:rPr>
      </w:pPr>
      <w:r w:rsidRPr="00E9429A">
        <w:rPr>
          <w:rFonts w:ascii="Times New Roman" w:hAnsi="Times New Roman" w:cs="Times New Roman"/>
          <w:sz w:val="24"/>
          <w:szCs w:val="24"/>
        </w:rPr>
        <w:t>(iv) Pose a danger to the safety of himself or herself or to other persons or to property, or</w:t>
      </w:r>
    </w:p>
    <w:p w14:paraId="4BBEC03C" w14:textId="77777777" w:rsidR="00450E74" w:rsidRDefault="00450E74" w:rsidP="00E9429A">
      <w:pPr>
        <w:widowControl w:val="0"/>
        <w:spacing w:after="0" w:line="240" w:lineRule="auto"/>
        <w:ind w:left="2160"/>
        <w:rPr>
          <w:rFonts w:ascii="Times New Roman" w:hAnsi="Times New Roman" w:cs="Times New Roman"/>
          <w:sz w:val="24"/>
          <w:szCs w:val="24"/>
        </w:rPr>
      </w:pPr>
    </w:p>
    <w:p w14:paraId="766D4328" w14:textId="716F0925" w:rsidR="00423A90" w:rsidRDefault="00E9429A" w:rsidP="00E9429A">
      <w:pPr>
        <w:widowControl w:val="0"/>
        <w:spacing w:after="0" w:line="240" w:lineRule="auto"/>
        <w:ind w:left="2160"/>
        <w:rPr>
          <w:rFonts w:ascii="Times New Roman" w:hAnsi="Times New Roman" w:cs="Times New Roman"/>
          <w:sz w:val="24"/>
          <w:szCs w:val="24"/>
        </w:rPr>
      </w:pPr>
      <w:r w:rsidRPr="00E9429A">
        <w:rPr>
          <w:rFonts w:ascii="Times New Roman" w:hAnsi="Times New Roman" w:cs="Times New Roman"/>
          <w:sz w:val="24"/>
          <w:szCs w:val="24"/>
        </w:rPr>
        <w:t>(v) Violate the conditions of his or her release from immigration custody pending removal from the United States.</w:t>
      </w:r>
    </w:p>
    <w:p w14:paraId="17319D2C" w14:textId="656771E8" w:rsidR="00DB3941" w:rsidRDefault="00DB3941" w:rsidP="00E9429A">
      <w:pPr>
        <w:widowControl w:val="0"/>
        <w:spacing w:after="0" w:line="240" w:lineRule="auto"/>
        <w:ind w:left="2160"/>
        <w:rPr>
          <w:rFonts w:ascii="Times New Roman" w:hAnsi="Times New Roman" w:cs="Times New Roman"/>
          <w:sz w:val="24"/>
          <w:szCs w:val="24"/>
        </w:rPr>
      </w:pPr>
    </w:p>
    <w:p w14:paraId="4C89B1B7" w14:textId="2D49E7F4" w:rsidR="00DB3941" w:rsidRPr="00DB3941" w:rsidRDefault="00DB3941" w:rsidP="00DB394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Id.</w:t>
      </w:r>
      <w:r>
        <w:rPr>
          <w:rFonts w:ascii="Times New Roman" w:hAnsi="Times New Roman" w:cs="Times New Roman"/>
          <w:sz w:val="24"/>
          <w:szCs w:val="24"/>
        </w:rPr>
        <w:t xml:space="preserve"> at § 241.4(f).</w:t>
      </w:r>
    </w:p>
    <w:p w14:paraId="07E24884" w14:textId="77777777" w:rsidR="00E9429A" w:rsidRPr="00E9429A" w:rsidRDefault="00E9429A" w:rsidP="00E9429A">
      <w:pPr>
        <w:widowControl w:val="0"/>
        <w:spacing w:after="0" w:line="240" w:lineRule="auto"/>
        <w:ind w:left="2160"/>
        <w:rPr>
          <w:rFonts w:ascii="Times New Roman" w:hAnsi="Times New Roman" w:cs="Times New Roman"/>
          <w:b/>
          <w:sz w:val="24"/>
          <w:szCs w:val="24"/>
        </w:rPr>
      </w:pPr>
    </w:p>
    <w:p w14:paraId="21B41350" w14:textId="586E8217" w:rsidR="00E9429A" w:rsidRPr="00DB3941" w:rsidRDefault="00DB3941" w:rsidP="00EB4233">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When § 241.4 of the regulations was promulgated by the now-defunct INS in 2000, it stated that the regulation “</w:t>
      </w:r>
      <w:r w:rsidRPr="00DB3941">
        <w:rPr>
          <w:rFonts w:ascii="Times New Roman" w:hAnsi="Times New Roman" w:cs="Times New Roman"/>
          <w:sz w:val="24"/>
          <w:szCs w:val="24"/>
        </w:rPr>
        <w:t>has the procedural mechanisms that...courts have sustained against due process challenges.</w:t>
      </w:r>
      <w:r>
        <w:rPr>
          <w:rFonts w:ascii="Times New Roman" w:hAnsi="Times New Roman" w:cs="Times New Roman"/>
          <w:sz w:val="24"/>
          <w:szCs w:val="24"/>
        </w:rPr>
        <w:t xml:space="preserve">” </w:t>
      </w:r>
      <w:r w:rsidRPr="00DB3941">
        <w:rPr>
          <w:rFonts w:ascii="Times New Roman" w:hAnsi="Times New Roman" w:cs="Times New Roman"/>
          <w:sz w:val="24"/>
          <w:szCs w:val="24"/>
        </w:rPr>
        <w:t xml:space="preserve"> Detention of Aliens Ordered Removed, 65 F</w:t>
      </w:r>
      <w:r>
        <w:rPr>
          <w:rFonts w:ascii="Times New Roman" w:hAnsi="Times New Roman" w:cs="Times New Roman"/>
          <w:sz w:val="24"/>
          <w:szCs w:val="24"/>
        </w:rPr>
        <w:t>ed</w:t>
      </w:r>
      <w:r w:rsidRPr="00DB3941">
        <w:rPr>
          <w:rFonts w:ascii="Times New Roman" w:hAnsi="Times New Roman" w:cs="Times New Roman"/>
          <w:sz w:val="24"/>
          <w:szCs w:val="24"/>
        </w:rPr>
        <w:t>.</w:t>
      </w:r>
      <w:r>
        <w:rPr>
          <w:rFonts w:ascii="Times New Roman" w:hAnsi="Times New Roman" w:cs="Times New Roman"/>
          <w:sz w:val="24"/>
          <w:szCs w:val="24"/>
        </w:rPr>
        <w:t xml:space="preserve"> </w:t>
      </w:r>
      <w:r w:rsidRPr="00DB3941">
        <w:rPr>
          <w:rFonts w:ascii="Times New Roman" w:hAnsi="Times New Roman" w:cs="Times New Roman"/>
          <w:sz w:val="24"/>
          <w:szCs w:val="24"/>
        </w:rPr>
        <w:t>R</w:t>
      </w:r>
      <w:r>
        <w:rPr>
          <w:rFonts w:ascii="Times New Roman" w:hAnsi="Times New Roman" w:cs="Times New Roman"/>
          <w:sz w:val="24"/>
          <w:szCs w:val="24"/>
        </w:rPr>
        <w:t>eg</w:t>
      </w:r>
      <w:r w:rsidRPr="00DB3941">
        <w:rPr>
          <w:rFonts w:ascii="Times New Roman" w:hAnsi="Times New Roman" w:cs="Times New Roman"/>
          <w:sz w:val="24"/>
          <w:szCs w:val="24"/>
        </w:rPr>
        <w:t>. 80281,</w:t>
      </w:r>
      <w:r>
        <w:rPr>
          <w:rFonts w:ascii="Times New Roman" w:hAnsi="Times New Roman" w:cs="Times New Roman"/>
          <w:sz w:val="24"/>
          <w:szCs w:val="24"/>
        </w:rPr>
        <w:t xml:space="preserve"> </w:t>
      </w:r>
      <w:r w:rsidRPr="00DB3941">
        <w:rPr>
          <w:rFonts w:ascii="Times New Roman" w:hAnsi="Times New Roman" w:cs="Times New Roman"/>
          <w:sz w:val="24"/>
          <w:szCs w:val="24"/>
        </w:rPr>
        <w:t>80283 (</w:t>
      </w:r>
      <w:r>
        <w:rPr>
          <w:rFonts w:ascii="Times New Roman" w:hAnsi="Times New Roman" w:cs="Times New Roman"/>
          <w:sz w:val="24"/>
          <w:szCs w:val="24"/>
        </w:rPr>
        <w:t xml:space="preserve">Dec. 21, </w:t>
      </w:r>
      <w:r w:rsidRPr="00DB3941">
        <w:rPr>
          <w:rFonts w:ascii="Times New Roman" w:hAnsi="Times New Roman" w:cs="Times New Roman"/>
          <w:sz w:val="24"/>
          <w:szCs w:val="24"/>
        </w:rPr>
        <w:t>2000).</w:t>
      </w:r>
      <w:r>
        <w:rPr>
          <w:rFonts w:ascii="Times New Roman" w:hAnsi="Times New Roman" w:cs="Times New Roman"/>
          <w:sz w:val="24"/>
          <w:szCs w:val="24"/>
        </w:rPr>
        <w:t xml:space="preserve">  INS cited to several court decisions from the Third, Fifth, and Tenth Circuits setting out procedural due process requirements for long-term post-order detention.  </w:t>
      </w:r>
      <w:r>
        <w:rPr>
          <w:rFonts w:ascii="Times New Roman" w:hAnsi="Times New Roman" w:cs="Times New Roman"/>
          <w:sz w:val="24"/>
          <w:szCs w:val="24"/>
          <w:u w:val="single"/>
        </w:rPr>
        <w:t>Id.</w:t>
      </w:r>
      <w:r>
        <w:rPr>
          <w:rFonts w:ascii="Times New Roman" w:hAnsi="Times New Roman" w:cs="Times New Roman"/>
          <w:sz w:val="24"/>
          <w:szCs w:val="24"/>
        </w:rPr>
        <w:t xml:space="preserve">; </w:t>
      </w:r>
      <w:r>
        <w:rPr>
          <w:rFonts w:ascii="Times New Roman" w:hAnsi="Times New Roman" w:cs="Times New Roman"/>
          <w:sz w:val="24"/>
          <w:szCs w:val="24"/>
          <w:u w:val="single"/>
        </w:rPr>
        <w:t>see also</w:t>
      </w:r>
      <w:r>
        <w:rPr>
          <w:rFonts w:ascii="Times New Roman" w:hAnsi="Times New Roman" w:cs="Times New Roman"/>
          <w:sz w:val="24"/>
          <w:szCs w:val="24"/>
        </w:rPr>
        <w:t xml:space="preserve"> </w:t>
      </w:r>
      <w:r>
        <w:rPr>
          <w:rFonts w:ascii="Times New Roman" w:hAnsi="Times New Roman" w:cs="Times New Roman"/>
          <w:sz w:val="24"/>
          <w:szCs w:val="24"/>
          <w:u w:val="single"/>
        </w:rPr>
        <w:t>Chi Thon Ngo v. INS</w:t>
      </w:r>
      <w:r>
        <w:rPr>
          <w:rFonts w:ascii="Times New Roman" w:hAnsi="Times New Roman" w:cs="Times New Roman"/>
          <w:sz w:val="24"/>
          <w:szCs w:val="24"/>
        </w:rPr>
        <w:t>, 192 F.3d 390, 398 (3d Cir. 1999) (</w:t>
      </w:r>
      <w:r w:rsidR="00EB4233">
        <w:rPr>
          <w:rFonts w:ascii="Times New Roman" w:hAnsi="Times New Roman" w:cs="Times New Roman"/>
          <w:sz w:val="24"/>
          <w:szCs w:val="24"/>
        </w:rPr>
        <w:t>holding that “</w:t>
      </w:r>
      <w:r w:rsidR="00EB4233" w:rsidRPr="00EB4233">
        <w:rPr>
          <w:rFonts w:ascii="Times New Roman" w:hAnsi="Times New Roman" w:cs="Times New Roman"/>
          <w:sz w:val="24"/>
          <w:szCs w:val="24"/>
        </w:rPr>
        <w:t>the process due even to excludable aliens requires an opportunity for an evaluation of the individual's current threat to the community and his risk of flight</w:t>
      </w:r>
      <w:r w:rsidR="00EB4233">
        <w:rPr>
          <w:rFonts w:ascii="Times New Roman" w:hAnsi="Times New Roman" w:cs="Times New Roman"/>
          <w:sz w:val="24"/>
          <w:szCs w:val="24"/>
        </w:rPr>
        <w:t>”).</w:t>
      </w:r>
    </w:p>
    <w:p w14:paraId="41482C4F" w14:textId="79B8F51A" w:rsidR="00DB3941" w:rsidRPr="008447A9" w:rsidRDefault="00EB4233" w:rsidP="00592F85">
      <w:pPr>
        <w:pStyle w:val="ListParagraph"/>
        <w:widowControl w:val="0"/>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Courts have found that the agency’s failure to follow its own regulations and failure to exercise discretion is enforceable against the agency.  </w:t>
      </w:r>
      <w:r>
        <w:rPr>
          <w:rFonts w:ascii="Times New Roman" w:hAnsi="Times New Roman" w:cs="Times New Roman"/>
          <w:sz w:val="24"/>
          <w:szCs w:val="24"/>
          <w:u w:val="single"/>
        </w:rPr>
        <w:t>See</w:t>
      </w:r>
      <w:r>
        <w:rPr>
          <w:rFonts w:ascii="Times New Roman" w:hAnsi="Times New Roman" w:cs="Times New Roman"/>
          <w:sz w:val="24"/>
          <w:szCs w:val="24"/>
        </w:rPr>
        <w:t xml:space="preserve"> </w:t>
      </w:r>
      <w:r>
        <w:rPr>
          <w:rFonts w:ascii="Times New Roman" w:hAnsi="Times New Roman" w:cs="Times New Roman"/>
          <w:sz w:val="24"/>
          <w:szCs w:val="24"/>
          <w:u w:val="single"/>
        </w:rPr>
        <w:t>INS v. St. Cyr</w:t>
      </w:r>
      <w:r>
        <w:rPr>
          <w:rFonts w:ascii="Times New Roman" w:hAnsi="Times New Roman" w:cs="Times New Roman"/>
          <w:sz w:val="24"/>
          <w:szCs w:val="24"/>
        </w:rPr>
        <w:t xml:space="preserve">, 533 U.S. 289, 307 (2001) (allowing a habeas court to hear challenges to failure to exercise discretion); </w:t>
      </w:r>
      <w:r>
        <w:rPr>
          <w:rFonts w:ascii="Times New Roman" w:hAnsi="Times New Roman" w:cs="Times New Roman"/>
          <w:sz w:val="24"/>
          <w:szCs w:val="24"/>
          <w:u w:val="single"/>
        </w:rPr>
        <w:t xml:space="preserve">United States ex rel. </w:t>
      </w:r>
      <w:proofErr w:type="spellStart"/>
      <w:r>
        <w:rPr>
          <w:rFonts w:ascii="Times New Roman" w:hAnsi="Times New Roman" w:cs="Times New Roman"/>
          <w:sz w:val="24"/>
          <w:szCs w:val="24"/>
          <w:u w:val="single"/>
        </w:rPr>
        <w:t>Accardi</w:t>
      </w:r>
      <w:proofErr w:type="spellEnd"/>
      <w:r>
        <w:rPr>
          <w:rFonts w:ascii="Times New Roman" w:hAnsi="Times New Roman" w:cs="Times New Roman"/>
          <w:sz w:val="24"/>
          <w:szCs w:val="24"/>
          <w:u w:val="single"/>
        </w:rPr>
        <w:t xml:space="preserve"> v. Shaughnessy</w:t>
      </w:r>
      <w:r>
        <w:rPr>
          <w:rFonts w:ascii="Times New Roman" w:hAnsi="Times New Roman" w:cs="Times New Roman"/>
          <w:sz w:val="24"/>
          <w:szCs w:val="24"/>
        </w:rPr>
        <w:t>, 347 U.S. 260, 268 (1954).</w:t>
      </w:r>
      <w:r w:rsidR="00592F85">
        <w:rPr>
          <w:rFonts w:ascii="Times New Roman" w:hAnsi="Times New Roman" w:cs="Times New Roman"/>
          <w:sz w:val="24"/>
          <w:szCs w:val="24"/>
        </w:rPr>
        <w:t xml:space="preserve">  “</w:t>
      </w:r>
      <w:r w:rsidR="00592F85" w:rsidRPr="00592F85">
        <w:rPr>
          <w:rFonts w:ascii="Times New Roman" w:hAnsi="Times New Roman" w:cs="Times New Roman"/>
          <w:sz w:val="24"/>
          <w:szCs w:val="24"/>
        </w:rPr>
        <w:t xml:space="preserve">In response to </w:t>
      </w:r>
      <w:proofErr w:type="spellStart"/>
      <w:r w:rsidR="00592F85" w:rsidRPr="00592F85">
        <w:rPr>
          <w:rFonts w:ascii="Times New Roman" w:hAnsi="Times New Roman" w:cs="Times New Roman"/>
          <w:sz w:val="24"/>
          <w:szCs w:val="24"/>
        </w:rPr>
        <w:t>Zadvydas</w:t>
      </w:r>
      <w:proofErr w:type="spellEnd"/>
      <w:r w:rsidR="00592F85" w:rsidRPr="00592F85">
        <w:rPr>
          <w:rFonts w:ascii="Times New Roman" w:hAnsi="Times New Roman" w:cs="Times New Roman"/>
          <w:sz w:val="24"/>
          <w:szCs w:val="24"/>
        </w:rPr>
        <w:t xml:space="preserve">, the regulations governing post-removal-order detention were amended to comply with the Constitutional concerns illuminated in </w:t>
      </w:r>
      <w:proofErr w:type="spellStart"/>
      <w:r w:rsidR="00592F85" w:rsidRPr="00592F85">
        <w:rPr>
          <w:rFonts w:ascii="Times New Roman" w:hAnsi="Times New Roman" w:cs="Times New Roman"/>
          <w:sz w:val="24"/>
          <w:szCs w:val="24"/>
        </w:rPr>
        <w:t>Zadvydas</w:t>
      </w:r>
      <w:proofErr w:type="spellEnd"/>
      <w:r w:rsidR="00592F85" w:rsidRPr="00592F85">
        <w:rPr>
          <w:rFonts w:ascii="Times New Roman" w:hAnsi="Times New Roman" w:cs="Times New Roman"/>
          <w:sz w:val="24"/>
          <w:szCs w:val="24"/>
        </w:rPr>
        <w:t>.</w:t>
      </w:r>
      <w:r w:rsidR="00592F85">
        <w:rPr>
          <w:rFonts w:ascii="Times New Roman" w:hAnsi="Times New Roman" w:cs="Times New Roman"/>
          <w:sz w:val="24"/>
          <w:szCs w:val="24"/>
        </w:rPr>
        <w:t xml:space="preserve">  </w:t>
      </w:r>
      <w:r w:rsidR="00592F85" w:rsidRPr="00592F85">
        <w:rPr>
          <w:rFonts w:ascii="Times New Roman" w:hAnsi="Times New Roman" w:cs="Times New Roman"/>
          <w:sz w:val="24"/>
          <w:szCs w:val="24"/>
        </w:rPr>
        <w:t xml:space="preserve">The amended regulations, 8 C.F.R. §§ 241.13 and 241.4, reflect the concerns of the </w:t>
      </w:r>
      <w:proofErr w:type="spellStart"/>
      <w:r w:rsidR="00592F85" w:rsidRPr="00592F85">
        <w:rPr>
          <w:rFonts w:ascii="Times New Roman" w:hAnsi="Times New Roman" w:cs="Times New Roman"/>
          <w:sz w:val="24"/>
          <w:szCs w:val="24"/>
        </w:rPr>
        <w:t>Zadvydas</w:t>
      </w:r>
      <w:proofErr w:type="spellEnd"/>
      <w:r w:rsidR="00592F85" w:rsidRPr="00592F85">
        <w:rPr>
          <w:rFonts w:ascii="Times New Roman" w:hAnsi="Times New Roman" w:cs="Times New Roman"/>
          <w:sz w:val="24"/>
          <w:szCs w:val="24"/>
        </w:rPr>
        <w:t xml:space="preserve"> Court and provide necessary procedural safeguards to ensure the detention of an alien beyond the removal period comports with due process requirements. Because these regulations confer important rights upon aliens ordered removed, DHS is bound by these regulations.</w:t>
      </w:r>
      <w:r w:rsidR="00592F85">
        <w:rPr>
          <w:rFonts w:ascii="Times New Roman" w:hAnsi="Times New Roman" w:cs="Times New Roman"/>
          <w:sz w:val="24"/>
          <w:szCs w:val="24"/>
        </w:rPr>
        <w:t xml:space="preserve">”  </w:t>
      </w:r>
      <w:proofErr w:type="spellStart"/>
      <w:r w:rsidR="00592F85">
        <w:rPr>
          <w:rFonts w:ascii="Times New Roman" w:hAnsi="Times New Roman" w:cs="Times New Roman"/>
          <w:sz w:val="24"/>
          <w:szCs w:val="24"/>
          <w:u w:val="single"/>
        </w:rPr>
        <w:t>Bonitto</w:t>
      </w:r>
      <w:proofErr w:type="spellEnd"/>
      <w:r w:rsidR="00592F85">
        <w:rPr>
          <w:rFonts w:ascii="Times New Roman" w:hAnsi="Times New Roman" w:cs="Times New Roman"/>
          <w:sz w:val="24"/>
          <w:szCs w:val="24"/>
          <w:u w:val="single"/>
        </w:rPr>
        <w:t xml:space="preserve"> v. Bureau of Immigration &amp; Customs Enforcement</w:t>
      </w:r>
      <w:r w:rsidR="00592F85">
        <w:rPr>
          <w:rFonts w:ascii="Times New Roman" w:hAnsi="Times New Roman" w:cs="Times New Roman"/>
          <w:sz w:val="24"/>
          <w:szCs w:val="24"/>
        </w:rPr>
        <w:t>, 547 F. Supp. 2d 747, 75</w:t>
      </w:r>
      <w:r w:rsidR="002B1D87">
        <w:rPr>
          <w:rFonts w:ascii="Times New Roman" w:hAnsi="Times New Roman" w:cs="Times New Roman"/>
          <w:sz w:val="24"/>
          <w:szCs w:val="24"/>
        </w:rPr>
        <w:t>7</w:t>
      </w:r>
      <w:r w:rsidR="00592F85">
        <w:rPr>
          <w:rFonts w:ascii="Times New Roman" w:hAnsi="Times New Roman" w:cs="Times New Roman"/>
          <w:sz w:val="24"/>
          <w:szCs w:val="24"/>
        </w:rPr>
        <w:t xml:space="preserve"> (S.D. Tex. 2008);</w:t>
      </w:r>
      <w:r w:rsidR="002B1D87">
        <w:rPr>
          <w:rFonts w:ascii="Times New Roman" w:hAnsi="Times New Roman" w:cs="Times New Roman"/>
          <w:sz w:val="24"/>
          <w:szCs w:val="24"/>
        </w:rPr>
        <w:t xml:space="preserve"> </w:t>
      </w:r>
      <w:r w:rsidR="002B1D87">
        <w:rPr>
          <w:rFonts w:ascii="Times New Roman" w:hAnsi="Times New Roman" w:cs="Times New Roman"/>
          <w:sz w:val="24"/>
          <w:szCs w:val="24"/>
          <w:u w:val="single"/>
        </w:rPr>
        <w:t>see also</w:t>
      </w:r>
      <w:r w:rsidR="00592F85">
        <w:rPr>
          <w:rFonts w:ascii="Times New Roman" w:hAnsi="Times New Roman" w:cs="Times New Roman"/>
          <w:sz w:val="24"/>
          <w:szCs w:val="24"/>
        </w:rPr>
        <w:t xml:space="preserve"> </w:t>
      </w:r>
      <w:r w:rsidR="00592F85">
        <w:rPr>
          <w:rFonts w:ascii="Times New Roman" w:hAnsi="Times New Roman" w:cs="Times New Roman"/>
          <w:sz w:val="24"/>
          <w:szCs w:val="24"/>
          <w:u w:val="single"/>
        </w:rPr>
        <w:t>D’Alessandro v. Mukasey</w:t>
      </w:r>
      <w:r w:rsidR="00592F85">
        <w:rPr>
          <w:rFonts w:ascii="Times New Roman" w:hAnsi="Times New Roman" w:cs="Times New Roman"/>
          <w:sz w:val="24"/>
          <w:szCs w:val="24"/>
        </w:rPr>
        <w:t xml:space="preserve">, 628 F. Supp. 2d 368, 394 (W.D.N.Y. 2009) (quoting </w:t>
      </w:r>
      <w:proofErr w:type="spellStart"/>
      <w:r w:rsidR="00592F85">
        <w:rPr>
          <w:rFonts w:ascii="Times New Roman" w:hAnsi="Times New Roman" w:cs="Times New Roman"/>
          <w:sz w:val="24"/>
          <w:szCs w:val="24"/>
          <w:u w:val="single"/>
        </w:rPr>
        <w:t>Bonitto</w:t>
      </w:r>
      <w:proofErr w:type="spellEnd"/>
      <w:r w:rsidR="00592F85">
        <w:rPr>
          <w:rFonts w:ascii="Times New Roman" w:hAnsi="Times New Roman" w:cs="Times New Roman"/>
          <w:sz w:val="24"/>
          <w:szCs w:val="24"/>
        </w:rPr>
        <w:t>).</w:t>
      </w:r>
      <w:r>
        <w:rPr>
          <w:rFonts w:ascii="Times New Roman" w:hAnsi="Times New Roman" w:cs="Times New Roman"/>
          <w:sz w:val="24"/>
          <w:szCs w:val="24"/>
        </w:rPr>
        <w:t xml:space="preserve">  “</w:t>
      </w:r>
      <w:r w:rsidRPr="00EB4233">
        <w:rPr>
          <w:rFonts w:ascii="Times New Roman" w:hAnsi="Times New Roman" w:cs="Times New Roman"/>
          <w:sz w:val="24"/>
          <w:szCs w:val="24"/>
        </w:rPr>
        <w:t>The regulations involved here do not merely facilitate internal agency housekeeping, but rather afford important and imperative procedural safeguards to detainees.</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Bonitto</w:t>
      </w:r>
      <w:proofErr w:type="spellEnd"/>
      <w:r>
        <w:rPr>
          <w:rFonts w:ascii="Times New Roman" w:hAnsi="Times New Roman" w:cs="Times New Roman"/>
          <w:sz w:val="24"/>
          <w:szCs w:val="24"/>
        </w:rPr>
        <w:t xml:space="preserve">, 547 F. Supp. 2d </w:t>
      </w:r>
      <w:r w:rsidR="002B1D87">
        <w:rPr>
          <w:rFonts w:ascii="Times New Roman" w:hAnsi="Times New Roman" w:cs="Times New Roman"/>
          <w:sz w:val="24"/>
          <w:szCs w:val="24"/>
        </w:rPr>
        <w:t>at</w:t>
      </w:r>
      <w:r>
        <w:rPr>
          <w:rFonts w:ascii="Times New Roman" w:hAnsi="Times New Roman" w:cs="Times New Roman"/>
          <w:sz w:val="24"/>
          <w:szCs w:val="24"/>
        </w:rPr>
        <w:t xml:space="preserve"> 756</w:t>
      </w:r>
      <w:r w:rsidR="00592F85">
        <w:rPr>
          <w:rFonts w:ascii="Times New Roman" w:hAnsi="Times New Roman" w:cs="Times New Roman"/>
          <w:sz w:val="24"/>
          <w:szCs w:val="24"/>
        </w:rPr>
        <w:t xml:space="preserve"> (citing </w:t>
      </w:r>
      <w:r w:rsidR="00592F85">
        <w:rPr>
          <w:rFonts w:ascii="Times New Roman" w:hAnsi="Times New Roman" w:cs="Times New Roman"/>
          <w:sz w:val="24"/>
          <w:szCs w:val="24"/>
          <w:u w:val="single"/>
        </w:rPr>
        <w:t xml:space="preserve">United </w:t>
      </w:r>
      <w:r w:rsidR="00592F85">
        <w:rPr>
          <w:rFonts w:ascii="Times New Roman" w:hAnsi="Times New Roman" w:cs="Times New Roman"/>
          <w:sz w:val="24"/>
          <w:szCs w:val="24"/>
          <w:u w:val="single"/>
        </w:rPr>
        <w:lastRenderedPageBreak/>
        <w:t>States v. Caceres</w:t>
      </w:r>
      <w:r w:rsidR="00592F85">
        <w:rPr>
          <w:rFonts w:ascii="Times New Roman" w:hAnsi="Times New Roman" w:cs="Times New Roman"/>
          <w:sz w:val="24"/>
          <w:szCs w:val="24"/>
        </w:rPr>
        <w:t>, 440 U.S. 741, 759, 760 (1979))</w:t>
      </w:r>
      <w:r>
        <w:rPr>
          <w:rFonts w:ascii="Times New Roman" w:hAnsi="Times New Roman" w:cs="Times New Roman"/>
          <w:sz w:val="24"/>
          <w:szCs w:val="24"/>
        </w:rPr>
        <w:t xml:space="preserve">.  </w:t>
      </w:r>
      <w:r w:rsidR="00592F85">
        <w:rPr>
          <w:rFonts w:ascii="Times New Roman" w:hAnsi="Times New Roman" w:cs="Times New Roman"/>
          <w:sz w:val="24"/>
          <w:szCs w:val="24"/>
        </w:rPr>
        <w:t>“</w:t>
      </w:r>
      <w:r w:rsidR="00592F85" w:rsidRPr="00592F85">
        <w:rPr>
          <w:rFonts w:ascii="Times New Roman" w:hAnsi="Times New Roman" w:cs="Times New Roman"/>
          <w:sz w:val="24"/>
          <w:szCs w:val="24"/>
        </w:rPr>
        <w:t>While ICE does have significant discretion to detain, release, or revoke aliens, the agency still must follow its own regulations, procedures, and prior written commitments in the Release Notification.</w:t>
      </w:r>
      <w:r w:rsidR="00592F85">
        <w:rPr>
          <w:rFonts w:ascii="Times New Roman" w:hAnsi="Times New Roman" w:cs="Times New Roman"/>
          <w:sz w:val="24"/>
          <w:szCs w:val="24"/>
        </w:rPr>
        <w:t xml:space="preserve">”  </w:t>
      </w:r>
      <w:proofErr w:type="spellStart"/>
      <w:r w:rsidR="00592F85">
        <w:rPr>
          <w:rFonts w:ascii="Times New Roman" w:hAnsi="Times New Roman" w:cs="Times New Roman"/>
          <w:sz w:val="24"/>
          <w:szCs w:val="24"/>
          <w:u w:val="single"/>
        </w:rPr>
        <w:t>Rombot</w:t>
      </w:r>
      <w:proofErr w:type="spellEnd"/>
      <w:r w:rsidR="00592F85">
        <w:rPr>
          <w:rFonts w:ascii="Times New Roman" w:hAnsi="Times New Roman" w:cs="Times New Roman"/>
          <w:sz w:val="24"/>
          <w:szCs w:val="24"/>
          <w:u w:val="single"/>
        </w:rPr>
        <w:t xml:space="preserve"> v. Souza</w:t>
      </w:r>
      <w:r w:rsidR="00592F85">
        <w:rPr>
          <w:rFonts w:ascii="Times New Roman" w:hAnsi="Times New Roman" w:cs="Times New Roman"/>
          <w:sz w:val="24"/>
          <w:szCs w:val="24"/>
        </w:rPr>
        <w:t>, 296 F. Supp. 3d 383, 388–89 (D. Mass. 2017).</w:t>
      </w:r>
    </w:p>
    <w:p w14:paraId="249E494E" w14:textId="33F78E4B" w:rsidR="00F93875" w:rsidRPr="00CA0286" w:rsidRDefault="00F93875" w:rsidP="00F93875">
      <w:pPr>
        <w:pStyle w:val="ListParagraph"/>
        <w:widowControl w:val="0"/>
        <w:numPr>
          <w:ilvl w:val="1"/>
          <w:numId w:val="2"/>
        </w:numPr>
        <w:spacing w:after="0" w:line="480" w:lineRule="auto"/>
        <w:ind w:hanging="720"/>
        <w:rPr>
          <w:rFonts w:ascii="Times New Roman" w:hAnsi="Times New Roman" w:cs="Times New Roman"/>
          <w:b/>
          <w:sz w:val="24"/>
          <w:szCs w:val="24"/>
          <w:u w:val="single"/>
        </w:rPr>
      </w:pPr>
      <w:r>
        <w:rPr>
          <w:rFonts w:ascii="Times New Roman" w:hAnsi="Times New Roman" w:cs="Times New Roman"/>
          <w:b/>
          <w:sz w:val="24"/>
          <w:szCs w:val="24"/>
        </w:rPr>
        <w:t>PROLONGED</w:t>
      </w:r>
      <w:r w:rsidR="00EF33BE">
        <w:rPr>
          <w:rFonts w:ascii="Times New Roman" w:hAnsi="Times New Roman" w:cs="Times New Roman"/>
          <w:b/>
          <w:sz w:val="24"/>
          <w:szCs w:val="24"/>
        </w:rPr>
        <w:t xml:space="preserve"> </w:t>
      </w:r>
      <w:r>
        <w:rPr>
          <w:rFonts w:ascii="Times New Roman" w:hAnsi="Times New Roman" w:cs="Times New Roman"/>
          <w:b/>
          <w:sz w:val="24"/>
          <w:szCs w:val="24"/>
        </w:rPr>
        <w:t>DETENTION</w:t>
      </w:r>
    </w:p>
    <w:p w14:paraId="77709B38" w14:textId="77777777" w:rsidR="0039238D" w:rsidRPr="00CA0286" w:rsidRDefault="00A76820" w:rsidP="0039238D">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The Due Process Clause of the Fifth Amendment requires that “[n]o person shall . . . be deprived of liberty . . . without due process of law.” “Freedom from imprisonment—from government custody, detention, or other forms of physical</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restraint—lies at the heart of the liberty that Clause protects.”</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 xml:space="preserve"> </w:t>
      </w:r>
      <w:proofErr w:type="spellStart"/>
      <w:r w:rsidRPr="00CA0286">
        <w:rPr>
          <w:rFonts w:ascii="Times New Roman" w:hAnsi="Times New Roman" w:cs="Times New Roman"/>
          <w:sz w:val="24"/>
          <w:szCs w:val="24"/>
          <w:u w:val="single"/>
        </w:rPr>
        <w:t>Zadvydas</w:t>
      </w:r>
      <w:proofErr w:type="spellEnd"/>
      <w:r w:rsidRPr="00CA0286">
        <w:rPr>
          <w:rFonts w:ascii="Times New Roman" w:hAnsi="Times New Roman" w:cs="Times New Roman"/>
          <w:sz w:val="24"/>
          <w:szCs w:val="24"/>
        </w:rPr>
        <w:t>, 533 at 690</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 xml:space="preserve">(citing </w:t>
      </w:r>
      <w:proofErr w:type="spellStart"/>
      <w:r w:rsidRPr="00CA0286">
        <w:rPr>
          <w:rFonts w:ascii="Times New Roman" w:hAnsi="Times New Roman" w:cs="Times New Roman"/>
          <w:sz w:val="24"/>
          <w:szCs w:val="24"/>
          <w:u w:val="single"/>
        </w:rPr>
        <w:t>Foucha</w:t>
      </w:r>
      <w:proofErr w:type="spellEnd"/>
      <w:r w:rsidRPr="00CA0286">
        <w:rPr>
          <w:rFonts w:ascii="Times New Roman" w:hAnsi="Times New Roman" w:cs="Times New Roman"/>
          <w:sz w:val="24"/>
          <w:szCs w:val="24"/>
          <w:u w:val="single"/>
        </w:rPr>
        <w:t xml:space="preserve"> v. Louisiana</w:t>
      </w:r>
      <w:r w:rsidRPr="00CA0286">
        <w:rPr>
          <w:rFonts w:ascii="Times New Roman" w:hAnsi="Times New Roman" w:cs="Times New Roman"/>
          <w:sz w:val="24"/>
          <w:szCs w:val="24"/>
        </w:rPr>
        <w:t>, 504 U.S. 71, 80 (1992)). In the context of immigration</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detention, at a minimum, detention must “</w:t>
      </w:r>
      <w:proofErr w:type="gramStart"/>
      <w:r w:rsidRPr="00CA0286">
        <w:rPr>
          <w:rFonts w:ascii="Times New Roman" w:hAnsi="Times New Roman" w:cs="Times New Roman"/>
          <w:sz w:val="24"/>
          <w:szCs w:val="24"/>
        </w:rPr>
        <w:t>bear[</w:t>
      </w:r>
      <w:proofErr w:type="gramEnd"/>
      <w:r w:rsidRPr="00CA0286">
        <w:rPr>
          <w:rFonts w:ascii="Times New Roman" w:hAnsi="Times New Roman" w:cs="Times New Roman"/>
          <w:sz w:val="24"/>
          <w:szCs w:val="24"/>
        </w:rPr>
        <w:t>] a reasonable relation to the purpose for</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which the individual [was] committed.”</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 xml:space="preserve"> </w:t>
      </w:r>
      <w:r w:rsidRPr="00CA0286">
        <w:rPr>
          <w:rFonts w:ascii="Times New Roman" w:hAnsi="Times New Roman" w:cs="Times New Roman"/>
          <w:sz w:val="24"/>
          <w:szCs w:val="24"/>
          <w:u w:val="single"/>
        </w:rPr>
        <w:t>Id.</w:t>
      </w:r>
      <w:r w:rsidRPr="00CA0286">
        <w:rPr>
          <w:rFonts w:ascii="Times New Roman" w:hAnsi="Times New Roman" w:cs="Times New Roman"/>
          <w:sz w:val="24"/>
          <w:szCs w:val="24"/>
        </w:rPr>
        <w:t xml:space="preserve"> (citing </w:t>
      </w:r>
      <w:r w:rsidRPr="00CA0286">
        <w:rPr>
          <w:rFonts w:ascii="Times New Roman" w:hAnsi="Times New Roman" w:cs="Times New Roman"/>
          <w:sz w:val="24"/>
          <w:szCs w:val="24"/>
          <w:u w:val="single"/>
        </w:rPr>
        <w:t>Jackson v. Indiana</w:t>
      </w:r>
      <w:r w:rsidRPr="00CA0286">
        <w:rPr>
          <w:rFonts w:ascii="Times New Roman" w:hAnsi="Times New Roman" w:cs="Times New Roman"/>
          <w:sz w:val="24"/>
          <w:szCs w:val="24"/>
        </w:rPr>
        <w:t>, 406 U.S. 715, 738</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(1972)). If “detention’s goal is no longer practically attainable,” detention becomes</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rPr>
        <w:t xml:space="preserve">unreasonable and therefore violates the Fifth Amendment right to due process. </w:t>
      </w:r>
      <w:r w:rsidR="0039238D" w:rsidRPr="00CA0286">
        <w:rPr>
          <w:rFonts w:ascii="Times New Roman" w:hAnsi="Times New Roman" w:cs="Times New Roman"/>
          <w:sz w:val="24"/>
          <w:szCs w:val="24"/>
        </w:rPr>
        <w:t xml:space="preserve"> </w:t>
      </w:r>
      <w:r w:rsidRPr="00CA0286">
        <w:rPr>
          <w:rFonts w:ascii="Times New Roman" w:hAnsi="Times New Roman" w:cs="Times New Roman"/>
          <w:sz w:val="24"/>
          <w:szCs w:val="24"/>
          <w:u w:val="single"/>
        </w:rPr>
        <w:t>Id.</w:t>
      </w:r>
    </w:p>
    <w:p w14:paraId="35FFBA5E" w14:textId="77777777" w:rsidR="00F35C46" w:rsidRPr="00CA0286" w:rsidRDefault="00F35C46" w:rsidP="00F35C46">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 xml:space="preserve">The Fifth Amendment Due Process Clause also requires that Respondents follow procedures that are adequate to establish that detention is both statutorily and constitutionally valid. </w:t>
      </w:r>
      <w:r w:rsidRPr="00CA0286">
        <w:rPr>
          <w:rFonts w:ascii="Times New Roman" w:hAnsi="Times New Roman" w:cs="Times New Roman"/>
          <w:sz w:val="24"/>
          <w:szCs w:val="24"/>
          <w:u w:val="single"/>
        </w:rPr>
        <w:t>See</w:t>
      </w:r>
      <w:r w:rsidRPr="00CA0286">
        <w:rPr>
          <w:rFonts w:ascii="Times New Roman" w:hAnsi="Times New Roman" w:cs="Times New Roman"/>
          <w:sz w:val="24"/>
          <w:szCs w:val="24"/>
        </w:rPr>
        <w:t xml:space="preserve"> </w:t>
      </w:r>
      <w:r w:rsidRPr="00CA0286">
        <w:rPr>
          <w:rFonts w:ascii="Times New Roman" w:hAnsi="Times New Roman" w:cs="Times New Roman"/>
          <w:sz w:val="24"/>
          <w:szCs w:val="24"/>
          <w:u w:val="single"/>
        </w:rPr>
        <w:t>Cooper v. Oklahoma</w:t>
      </w:r>
      <w:r w:rsidRPr="00CA0286">
        <w:rPr>
          <w:rFonts w:ascii="Times New Roman" w:hAnsi="Times New Roman" w:cs="Times New Roman"/>
          <w:sz w:val="24"/>
          <w:szCs w:val="24"/>
        </w:rPr>
        <w:t xml:space="preserve">, 517 U.S. 348, 363 (1996) (“due process places a heightened burden of proof on the State in civil proceedings in which the individual interests at stake . . . are both particularly important and more substantial than mere loss of money.”). </w:t>
      </w:r>
    </w:p>
    <w:p w14:paraId="2E9D67EA" w14:textId="566238E9" w:rsidR="00F35C46" w:rsidRDefault="00F35C46" w:rsidP="00F35C46">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 xml:space="preserve">Under the canon of constitutional avoidance, no immigration detention statute should be construed in a way that would violate the Constitution where it is “fairly possible” to avoid doing so. </w:t>
      </w:r>
      <w:proofErr w:type="spellStart"/>
      <w:r w:rsidRPr="00CA0286">
        <w:rPr>
          <w:rFonts w:ascii="Times New Roman" w:hAnsi="Times New Roman" w:cs="Times New Roman"/>
          <w:sz w:val="24"/>
          <w:szCs w:val="24"/>
          <w:u w:val="single"/>
        </w:rPr>
        <w:t>Zadvydas</w:t>
      </w:r>
      <w:proofErr w:type="spellEnd"/>
      <w:r w:rsidRPr="00CA0286">
        <w:rPr>
          <w:rFonts w:ascii="Times New Roman" w:hAnsi="Times New Roman" w:cs="Times New Roman"/>
          <w:sz w:val="24"/>
          <w:szCs w:val="24"/>
        </w:rPr>
        <w:t>, 533 U.S. at 689.</w:t>
      </w:r>
    </w:p>
    <w:p w14:paraId="112E1F69" w14:textId="6562D96B" w:rsidR="00777E41" w:rsidRPr="00CA0286" w:rsidRDefault="00777E41" w:rsidP="00F35C46">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w:t>
      </w:r>
      <w:proofErr w:type="spellStart"/>
      <w:r>
        <w:rPr>
          <w:rFonts w:ascii="Times New Roman" w:hAnsi="Times New Roman" w:cs="Times New Roman"/>
          <w:sz w:val="24"/>
          <w:szCs w:val="24"/>
          <w:u w:val="single"/>
        </w:rPr>
        <w:t>Zadvydas</w:t>
      </w:r>
      <w:proofErr w:type="spellEnd"/>
      <w:r>
        <w:rPr>
          <w:rFonts w:ascii="Times New Roman" w:hAnsi="Times New Roman" w:cs="Times New Roman"/>
          <w:sz w:val="24"/>
          <w:szCs w:val="24"/>
        </w:rPr>
        <w:t xml:space="preserve">, the Supreme Court held that, while the statute provides for a removal period of 90 days, post-order detention up to 180 days was presumptively reasonable.  </w:t>
      </w:r>
      <w:r>
        <w:rPr>
          <w:rFonts w:ascii="Times New Roman" w:hAnsi="Times New Roman" w:cs="Times New Roman"/>
          <w:sz w:val="24"/>
          <w:szCs w:val="24"/>
          <w:u w:val="single"/>
        </w:rPr>
        <w:t>Id.</w:t>
      </w:r>
      <w:r>
        <w:rPr>
          <w:rFonts w:ascii="Times New Roman" w:hAnsi="Times New Roman" w:cs="Times New Roman"/>
          <w:sz w:val="24"/>
          <w:szCs w:val="24"/>
        </w:rPr>
        <w:t xml:space="preserve"> at 701.  After six months, the burden is on the government to rebut a showing by the noncitizen “that there is no significant likelihood of his removal in the reasonably foreseeable future.”  </w:t>
      </w:r>
      <w:r>
        <w:rPr>
          <w:rFonts w:ascii="Times New Roman" w:hAnsi="Times New Roman" w:cs="Times New Roman"/>
          <w:sz w:val="24"/>
          <w:szCs w:val="24"/>
          <w:u w:val="single"/>
        </w:rPr>
        <w:t>Id.</w:t>
      </w:r>
      <w:r>
        <w:rPr>
          <w:rFonts w:ascii="Times New Roman" w:hAnsi="Times New Roman" w:cs="Times New Roman"/>
          <w:sz w:val="24"/>
          <w:szCs w:val="24"/>
        </w:rPr>
        <w:t xml:space="preserve">  “[W]hat constitutes the ‘reasonably foreseeable future’ shrinks as the total period of </w:t>
      </w:r>
      <w:proofErr w:type="spellStart"/>
      <w:r>
        <w:rPr>
          <w:rFonts w:ascii="Times New Roman" w:hAnsi="Times New Roman" w:cs="Times New Roman"/>
          <w:sz w:val="24"/>
          <w:szCs w:val="24"/>
        </w:rPr>
        <w:t>postremoval</w:t>
      </w:r>
      <w:proofErr w:type="spellEnd"/>
      <w:r>
        <w:rPr>
          <w:rFonts w:ascii="Times New Roman" w:hAnsi="Times New Roman" w:cs="Times New Roman"/>
          <w:sz w:val="24"/>
          <w:szCs w:val="24"/>
        </w:rPr>
        <w:t xml:space="preserve"> confinement grows.”  </w:t>
      </w:r>
      <w:proofErr w:type="spellStart"/>
      <w:r>
        <w:rPr>
          <w:rFonts w:ascii="Times New Roman" w:hAnsi="Times New Roman" w:cs="Times New Roman"/>
          <w:sz w:val="24"/>
          <w:szCs w:val="24"/>
          <w:u w:val="single"/>
        </w:rPr>
        <w:t>Moallin</w:t>
      </w:r>
      <w:proofErr w:type="spellEnd"/>
      <w:r>
        <w:rPr>
          <w:rFonts w:ascii="Times New Roman" w:hAnsi="Times New Roman" w:cs="Times New Roman"/>
          <w:sz w:val="24"/>
          <w:szCs w:val="24"/>
          <w:u w:val="single"/>
        </w:rPr>
        <w:t xml:space="preserve"> v. </w:t>
      </w:r>
      <w:proofErr w:type="spellStart"/>
      <w:r>
        <w:rPr>
          <w:rFonts w:ascii="Times New Roman" w:hAnsi="Times New Roman" w:cs="Times New Roman"/>
          <w:sz w:val="24"/>
          <w:szCs w:val="24"/>
          <w:u w:val="single"/>
        </w:rPr>
        <w:t>Cangemi</w:t>
      </w:r>
      <w:proofErr w:type="spellEnd"/>
      <w:r>
        <w:rPr>
          <w:rFonts w:ascii="Times New Roman" w:hAnsi="Times New Roman" w:cs="Times New Roman"/>
          <w:sz w:val="24"/>
          <w:szCs w:val="24"/>
        </w:rPr>
        <w:t xml:space="preserve">, 427 F. Supp. 2d 908, 915 (D. Minn. 2006).  </w:t>
      </w:r>
    </w:p>
    <w:p w14:paraId="3E7126F4" w14:textId="39AE0EC5" w:rsidR="00EF33BE" w:rsidRDefault="00EF33BE" w:rsidP="00EF33BE">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 grant of reopening and remand to the Immigration Court would not cure Petitioner’s detention of its unconstitutionality.  Upon reopening, Petitioner could be detained pursuant to § 1225(b), which provides for mandatory detention, or § 1226(a), which allows for bond.  Petitioner cannot predict which authority he would be detained under upon reopening, as that decision appears to lie exclusively within the discretion of DHS.</w:t>
      </w:r>
    </w:p>
    <w:p w14:paraId="36304B03" w14:textId="110DEAE7" w:rsidR="00EB5570" w:rsidRPr="00EF33BE" w:rsidRDefault="005762BA" w:rsidP="00EF33BE">
      <w:pPr>
        <w:pStyle w:val="ListParagraph"/>
        <w:widowControl w:val="0"/>
        <w:numPr>
          <w:ilvl w:val="0"/>
          <w:numId w:val="3"/>
        </w:numPr>
        <w:spacing w:after="0" w:line="480" w:lineRule="auto"/>
        <w:rPr>
          <w:rFonts w:ascii="Times New Roman" w:hAnsi="Times New Roman" w:cs="Times New Roman"/>
          <w:sz w:val="24"/>
          <w:szCs w:val="24"/>
        </w:rPr>
      </w:pPr>
      <w:r w:rsidRPr="00EF33BE">
        <w:rPr>
          <w:rFonts w:ascii="Times New Roman" w:hAnsi="Times New Roman" w:cs="Times New Roman"/>
          <w:sz w:val="24"/>
          <w:szCs w:val="24"/>
        </w:rPr>
        <w:t>This</w:t>
      </w:r>
      <w:r w:rsidRPr="00CA0286">
        <w:rPr>
          <w:rFonts w:ascii="Times New Roman" w:hAnsi="Times New Roman" w:cs="Times New Roman"/>
          <w:sz w:val="24"/>
          <w:szCs w:val="24"/>
        </w:rPr>
        <w:t xml:space="preserve"> Court has on several occasions agreed that § 1226(c)</w:t>
      </w:r>
      <w:r w:rsidR="00EF33BE">
        <w:rPr>
          <w:rFonts w:ascii="Times New Roman" w:hAnsi="Times New Roman" w:cs="Times New Roman"/>
          <w:sz w:val="24"/>
          <w:szCs w:val="24"/>
        </w:rPr>
        <w:t>—functionally identical to § 1225(b)—</w:t>
      </w:r>
      <w:r w:rsidRPr="00CA0286">
        <w:rPr>
          <w:rFonts w:ascii="Times New Roman" w:hAnsi="Times New Roman" w:cs="Times New Roman"/>
          <w:sz w:val="24"/>
          <w:szCs w:val="24"/>
        </w:rPr>
        <w:t xml:space="preserve">does not allow for indefinite detention.  </w:t>
      </w:r>
      <w:r w:rsidRPr="00CA0286">
        <w:rPr>
          <w:rFonts w:ascii="Times New Roman" w:hAnsi="Times New Roman" w:cs="Times New Roman"/>
          <w:sz w:val="24"/>
          <w:szCs w:val="24"/>
          <w:u w:val="single"/>
        </w:rPr>
        <w:t xml:space="preserve">Bah v. </w:t>
      </w:r>
      <w:proofErr w:type="spellStart"/>
      <w:r w:rsidRPr="00CA0286">
        <w:rPr>
          <w:rFonts w:ascii="Times New Roman" w:hAnsi="Times New Roman" w:cs="Times New Roman"/>
          <w:sz w:val="24"/>
          <w:szCs w:val="24"/>
          <w:u w:val="single"/>
        </w:rPr>
        <w:t>Cangemi</w:t>
      </w:r>
      <w:proofErr w:type="spellEnd"/>
      <w:r w:rsidRPr="00CA0286">
        <w:rPr>
          <w:rFonts w:ascii="Times New Roman" w:hAnsi="Times New Roman" w:cs="Times New Roman"/>
          <w:sz w:val="24"/>
          <w:szCs w:val="24"/>
        </w:rPr>
        <w:t>, 489 F.Supp.2d 905, 920 (D. Minn. 2007) (</w:t>
      </w:r>
      <w:proofErr w:type="spellStart"/>
      <w:r w:rsidRPr="00CA0286">
        <w:rPr>
          <w:rFonts w:ascii="Times New Roman" w:hAnsi="Times New Roman" w:cs="Times New Roman"/>
          <w:sz w:val="24"/>
          <w:szCs w:val="24"/>
        </w:rPr>
        <w:t>Schiltz</w:t>
      </w:r>
      <w:proofErr w:type="spellEnd"/>
      <w:r w:rsidRPr="00CA0286">
        <w:rPr>
          <w:rFonts w:ascii="Times New Roman" w:hAnsi="Times New Roman" w:cs="Times New Roman"/>
          <w:sz w:val="24"/>
          <w:szCs w:val="24"/>
        </w:rPr>
        <w:t xml:space="preserve">, J.) (“This Court believes that allowing unlimited pre-removal-period detention under § 1226 would be inconsistent with the reasoning underlying </w:t>
      </w:r>
      <w:proofErr w:type="spellStart"/>
      <w:r w:rsidRPr="00CA0286">
        <w:rPr>
          <w:rFonts w:ascii="Times New Roman" w:hAnsi="Times New Roman" w:cs="Times New Roman"/>
          <w:sz w:val="24"/>
          <w:szCs w:val="24"/>
          <w:u w:val="single"/>
        </w:rPr>
        <w:t>Zadvydas</w:t>
      </w:r>
      <w:proofErr w:type="spellEnd"/>
      <w:r w:rsidRPr="00CA0286">
        <w:rPr>
          <w:rFonts w:ascii="Times New Roman" w:hAnsi="Times New Roman" w:cs="Times New Roman"/>
          <w:sz w:val="24"/>
          <w:szCs w:val="24"/>
        </w:rPr>
        <w:t xml:space="preserve">.”); </w:t>
      </w:r>
      <w:proofErr w:type="spellStart"/>
      <w:r w:rsidRPr="00CA0286">
        <w:rPr>
          <w:rFonts w:ascii="Times New Roman" w:hAnsi="Times New Roman" w:cs="Times New Roman"/>
          <w:sz w:val="24"/>
          <w:szCs w:val="24"/>
          <w:u w:val="single"/>
        </w:rPr>
        <w:t>Moallin</w:t>
      </w:r>
      <w:proofErr w:type="spellEnd"/>
      <w:r w:rsidRPr="00CA0286">
        <w:rPr>
          <w:rFonts w:ascii="Times New Roman" w:hAnsi="Times New Roman" w:cs="Times New Roman"/>
          <w:sz w:val="24"/>
          <w:szCs w:val="24"/>
          <w:u w:val="single"/>
        </w:rPr>
        <w:t xml:space="preserve"> v. </w:t>
      </w:r>
      <w:proofErr w:type="spellStart"/>
      <w:r w:rsidRPr="00CA0286">
        <w:rPr>
          <w:rFonts w:ascii="Times New Roman" w:hAnsi="Times New Roman" w:cs="Times New Roman"/>
          <w:sz w:val="24"/>
          <w:szCs w:val="24"/>
          <w:u w:val="single"/>
        </w:rPr>
        <w:t>Cangemi</w:t>
      </w:r>
      <w:proofErr w:type="spellEnd"/>
      <w:r w:rsidRPr="00CA0286">
        <w:rPr>
          <w:rFonts w:ascii="Times New Roman" w:hAnsi="Times New Roman" w:cs="Times New Roman"/>
          <w:sz w:val="24"/>
          <w:szCs w:val="24"/>
        </w:rPr>
        <w:t>, 427 F.Supp.2d 908, 926 (D. Minn. 2006) (Nelson, J.) (</w:t>
      </w:r>
      <w:r w:rsidR="00C922C4">
        <w:rPr>
          <w:rFonts w:ascii="Times New Roman" w:hAnsi="Times New Roman" w:cs="Times New Roman"/>
          <w:sz w:val="24"/>
          <w:szCs w:val="24"/>
        </w:rPr>
        <w:t xml:space="preserve">applying principles of </w:t>
      </w:r>
      <w:proofErr w:type="spellStart"/>
      <w:r w:rsidR="00C922C4">
        <w:rPr>
          <w:rFonts w:ascii="Times New Roman" w:hAnsi="Times New Roman" w:cs="Times New Roman"/>
          <w:sz w:val="24"/>
          <w:szCs w:val="24"/>
          <w:u w:val="single"/>
        </w:rPr>
        <w:t>Zadvydas</w:t>
      </w:r>
      <w:proofErr w:type="spellEnd"/>
      <w:r w:rsidR="00C922C4">
        <w:rPr>
          <w:rFonts w:ascii="Times New Roman" w:hAnsi="Times New Roman" w:cs="Times New Roman"/>
          <w:sz w:val="24"/>
          <w:szCs w:val="24"/>
        </w:rPr>
        <w:t xml:space="preserve"> to § 1226(c) detention</w:t>
      </w:r>
      <w:r w:rsidRPr="00CA0286">
        <w:rPr>
          <w:rFonts w:ascii="Times New Roman" w:hAnsi="Times New Roman" w:cs="Times New Roman"/>
          <w:sz w:val="24"/>
          <w:szCs w:val="24"/>
        </w:rPr>
        <w:t>)</w:t>
      </w:r>
      <w:r w:rsidR="008E0161" w:rsidRPr="00CA0286">
        <w:rPr>
          <w:rFonts w:ascii="Times New Roman" w:hAnsi="Times New Roman" w:cs="Times New Roman"/>
          <w:sz w:val="24"/>
          <w:szCs w:val="24"/>
        </w:rPr>
        <w:t xml:space="preserve">; </w:t>
      </w:r>
      <w:r w:rsidR="00280AF3" w:rsidRPr="00CA0286">
        <w:rPr>
          <w:rFonts w:ascii="Times New Roman" w:hAnsi="Times New Roman" w:cs="Times New Roman"/>
          <w:sz w:val="24"/>
          <w:szCs w:val="24"/>
          <w:u w:val="single"/>
        </w:rPr>
        <w:t xml:space="preserve">Phan v. </w:t>
      </w:r>
      <w:proofErr w:type="spellStart"/>
      <w:r w:rsidR="00280AF3" w:rsidRPr="00CA0286">
        <w:rPr>
          <w:rFonts w:ascii="Times New Roman" w:hAnsi="Times New Roman" w:cs="Times New Roman"/>
          <w:sz w:val="24"/>
          <w:szCs w:val="24"/>
          <w:u w:val="single"/>
        </w:rPr>
        <w:t>Brott</w:t>
      </w:r>
      <w:proofErr w:type="spellEnd"/>
      <w:r w:rsidR="00280AF3" w:rsidRPr="00CA0286">
        <w:rPr>
          <w:rFonts w:ascii="Times New Roman" w:hAnsi="Times New Roman" w:cs="Times New Roman"/>
          <w:sz w:val="24"/>
          <w:szCs w:val="24"/>
        </w:rPr>
        <w:t>, No. 17-cv-432-DWF-HB, 2017 WL 4460752, 2017 U.S. Dist. LEXIS 165060 (D. Minn. Oct. 5, 2017)</w:t>
      </w:r>
      <w:r w:rsidR="008A1349">
        <w:rPr>
          <w:rFonts w:ascii="Times New Roman" w:hAnsi="Times New Roman" w:cs="Times New Roman"/>
          <w:sz w:val="24"/>
          <w:szCs w:val="24"/>
        </w:rPr>
        <w:t xml:space="preserve"> (granting petition for habeas corpus for petitioner detained pursuant to § 1226(c)</w:t>
      </w:r>
      <w:r w:rsidR="00777E41">
        <w:rPr>
          <w:rFonts w:ascii="Times New Roman" w:hAnsi="Times New Roman" w:cs="Times New Roman"/>
          <w:sz w:val="24"/>
          <w:szCs w:val="24"/>
        </w:rPr>
        <w:t xml:space="preserve"> after reopening granted</w:t>
      </w:r>
      <w:r w:rsidR="008A1349">
        <w:rPr>
          <w:rFonts w:ascii="Times New Roman" w:hAnsi="Times New Roman" w:cs="Times New Roman"/>
          <w:sz w:val="24"/>
          <w:szCs w:val="24"/>
        </w:rPr>
        <w:t>)</w:t>
      </w:r>
      <w:r w:rsidR="00EF33BE">
        <w:rPr>
          <w:rFonts w:ascii="Times New Roman" w:hAnsi="Times New Roman" w:cs="Times New Roman"/>
          <w:sz w:val="24"/>
          <w:szCs w:val="24"/>
        </w:rPr>
        <w:t xml:space="preserve">; </w:t>
      </w:r>
      <w:proofErr w:type="spellStart"/>
      <w:r w:rsidR="00EF33BE">
        <w:rPr>
          <w:rFonts w:ascii="Times New Roman" w:hAnsi="Times New Roman" w:cs="Times New Roman"/>
          <w:sz w:val="24"/>
          <w:szCs w:val="24"/>
          <w:u w:val="single"/>
        </w:rPr>
        <w:t>Tindi</w:t>
      </w:r>
      <w:proofErr w:type="spellEnd"/>
      <w:r w:rsidR="00EF33BE">
        <w:rPr>
          <w:rFonts w:ascii="Times New Roman" w:hAnsi="Times New Roman" w:cs="Times New Roman"/>
          <w:sz w:val="24"/>
          <w:szCs w:val="24"/>
          <w:u w:val="single"/>
        </w:rPr>
        <w:t xml:space="preserve"> v. Sec’y, Dep’t of Homeland Sec.</w:t>
      </w:r>
      <w:r w:rsidR="00EF33BE">
        <w:rPr>
          <w:rFonts w:ascii="Times New Roman" w:hAnsi="Times New Roman" w:cs="Times New Roman"/>
          <w:sz w:val="24"/>
          <w:szCs w:val="24"/>
        </w:rPr>
        <w:t>, No. 17-cv-3663-DSD-DTS, 2018 WL 704314 (D. Minn. Feb. 5, 2018) (same, in context of stay by Circuit Court)</w:t>
      </w:r>
      <w:r w:rsidR="008A1349">
        <w:rPr>
          <w:rFonts w:ascii="Times New Roman" w:hAnsi="Times New Roman" w:cs="Times New Roman"/>
          <w:sz w:val="24"/>
          <w:szCs w:val="24"/>
        </w:rPr>
        <w:t xml:space="preserve">; </w:t>
      </w:r>
      <w:r w:rsidR="0019108E">
        <w:rPr>
          <w:rFonts w:ascii="Times New Roman" w:hAnsi="Times New Roman" w:cs="Times New Roman"/>
          <w:sz w:val="24"/>
          <w:szCs w:val="24"/>
          <w:u w:val="single"/>
        </w:rPr>
        <w:t>cf.</w:t>
      </w:r>
      <w:r w:rsidR="0019108E">
        <w:rPr>
          <w:rFonts w:ascii="Times New Roman" w:hAnsi="Times New Roman" w:cs="Times New Roman"/>
          <w:sz w:val="24"/>
          <w:szCs w:val="24"/>
        </w:rPr>
        <w:t xml:space="preserve"> </w:t>
      </w:r>
      <w:r w:rsidR="0019108E">
        <w:rPr>
          <w:rFonts w:ascii="Times New Roman" w:hAnsi="Times New Roman" w:cs="Times New Roman"/>
          <w:sz w:val="24"/>
          <w:szCs w:val="24"/>
          <w:u w:val="single"/>
        </w:rPr>
        <w:t>Davies v. Tritten</w:t>
      </w:r>
      <w:r w:rsidR="0019108E">
        <w:rPr>
          <w:rFonts w:ascii="Times New Roman" w:hAnsi="Times New Roman" w:cs="Times New Roman"/>
          <w:sz w:val="24"/>
          <w:szCs w:val="24"/>
        </w:rPr>
        <w:t xml:space="preserve">, No. 17-cv-3710-SRN-SER (Sept. 25, 2017) (stating that </w:t>
      </w:r>
      <w:r w:rsidR="0019108E">
        <w:rPr>
          <w:rFonts w:ascii="Times New Roman" w:hAnsi="Times New Roman" w:cs="Times New Roman"/>
          <w:sz w:val="24"/>
          <w:szCs w:val="24"/>
        </w:rPr>
        <w:lastRenderedPageBreak/>
        <w:t>“[a]</w:t>
      </w:r>
      <w:proofErr w:type="spellStart"/>
      <w:r w:rsidR="0019108E" w:rsidRPr="0019108E">
        <w:rPr>
          <w:rFonts w:ascii="Times New Roman" w:hAnsi="Times New Roman" w:cs="Times New Roman"/>
          <w:sz w:val="24"/>
          <w:szCs w:val="24"/>
        </w:rPr>
        <w:t>ll</w:t>
      </w:r>
      <w:proofErr w:type="spellEnd"/>
      <w:r w:rsidR="0019108E" w:rsidRPr="0019108E">
        <w:rPr>
          <w:rFonts w:ascii="Times New Roman" w:hAnsi="Times New Roman" w:cs="Times New Roman"/>
          <w:sz w:val="24"/>
          <w:szCs w:val="24"/>
        </w:rPr>
        <w:t xml:space="preserve"> circuit courts of appeal who have addressed the question have read </w:t>
      </w:r>
      <w:proofErr w:type="spellStart"/>
      <w:r w:rsidR="0019108E" w:rsidRPr="0019108E">
        <w:rPr>
          <w:rFonts w:ascii="Times New Roman" w:hAnsi="Times New Roman" w:cs="Times New Roman"/>
          <w:sz w:val="24"/>
          <w:szCs w:val="24"/>
          <w:u w:val="single"/>
        </w:rPr>
        <w:t>Demore</w:t>
      </w:r>
      <w:proofErr w:type="spellEnd"/>
      <w:r w:rsidR="0019108E" w:rsidRPr="0019108E">
        <w:rPr>
          <w:rFonts w:ascii="Times New Roman" w:hAnsi="Times New Roman" w:cs="Times New Roman"/>
          <w:sz w:val="24"/>
          <w:szCs w:val="24"/>
        </w:rPr>
        <w:t xml:space="preserve"> and </w:t>
      </w:r>
      <w:proofErr w:type="spellStart"/>
      <w:r w:rsidR="0019108E" w:rsidRPr="0019108E">
        <w:rPr>
          <w:rFonts w:ascii="Times New Roman" w:hAnsi="Times New Roman" w:cs="Times New Roman"/>
          <w:sz w:val="24"/>
          <w:szCs w:val="24"/>
          <w:u w:val="single"/>
        </w:rPr>
        <w:t>Zadvydas</w:t>
      </w:r>
      <w:proofErr w:type="spellEnd"/>
      <w:r w:rsidR="0019108E" w:rsidRPr="0019108E">
        <w:rPr>
          <w:rFonts w:ascii="Times New Roman" w:hAnsi="Times New Roman" w:cs="Times New Roman"/>
          <w:sz w:val="24"/>
          <w:szCs w:val="24"/>
        </w:rPr>
        <w:t xml:space="preserve"> to impose a reasonableness requirement on detention before a final removal order</w:t>
      </w:r>
      <w:r w:rsidR="0019108E">
        <w:rPr>
          <w:rFonts w:ascii="Times New Roman" w:hAnsi="Times New Roman" w:cs="Times New Roman"/>
          <w:sz w:val="24"/>
          <w:szCs w:val="24"/>
        </w:rPr>
        <w:t>,” but denying petition because detention was extended</w:t>
      </w:r>
      <w:r w:rsidR="0010130D">
        <w:rPr>
          <w:rFonts w:ascii="Times New Roman" w:hAnsi="Times New Roman" w:cs="Times New Roman"/>
          <w:sz w:val="24"/>
          <w:szCs w:val="24"/>
        </w:rPr>
        <w:t xml:space="preserve"> to eight months</w:t>
      </w:r>
      <w:r w:rsidR="0019108E">
        <w:rPr>
          <w:rFonts w:ascii="Times New Roman" w:hAnsi="Times New Roman" w:cs="Times New Roman"/>
          <w:sz w:val="24"/>
          <w:szCs w:val="24"/>
        </w:rPr>
        <w:t xml:space="preserve"> by an “unusual mistake,” a missing transcript)</w:t>
      </w:r>
      <w:r w:rsidRPr="00CA0286">
        <w:rPr>
          <w:rFonts w:ascii="Times New Roman" w:hAnsi="Times New Roman" w:cs="Times New Roman"/>
          <w:sz w:val="24"/>
          <w:szCs w:val="24"/>
        </w:rPr>
        <w:t>.</w:t>
      </w:r>
    </w:p>
    <w:p w14:paraId="7A5F4FC9" w14:textId="2A167928" w:rsidR="0038212B" w:rsidRPr="00FB6A99" w:rsidRDefault="009C3AB8" w:rsidP="00FB6A99">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 xml:space="preserve">The Court, the government, and immigration advocates alike have recognized that detention may force aliens to give up meritorious claims </w:t>
      </w:r>
      <w:proofErr w:type="gramStart"/>
      <w:r w:rsidRPr="00CA0286">
        <w:rPr>
          <w:rFonts w:ascii="Times New Roman" w:hAnsi="Times New Roman" w:cs="Times New Roman"/>
          <w:sz w:val="24"/>
          <w:szCs w:val="24"/>
        </w:rPr>
        <w:t>in order to</w:t>
      </w:r>
      <w:proofErr w:type="gramEnd"/>
      <w:r w:rsidRPr="00CA0286">
        <w:rPr>
          <w:rFonts w:ascii="Times New Roman" w:hAnsi="Times New Roman" w:cs="Times New Roman"/>
          <w:sz w:val="24"/>
          <w:szCs w:val="24"/>
        </w:rPr>
        <w:t xml:space="preserve"> get out of jail.  </w:t>
      </w:r>
      <w:r w:rsidRPr="00CA0286">
        <w:rPr>
          <w:rFonts w:ascii="Times New Roman" w:hAnsi="Times New Roman" w:cs="Times New Roman"/>
          <w:sz w:val="24"/>
          <w:szCs w:val="24"/>
          <w:u w:val="single"/>
        </w:rPr>
        <w:t>See</w:t>
      </w:r>
      <w:r w:rsidRPr="00CA0286">
        <w:rPr>
          <w:rFonts w:ascii="Times New Roman" w:hAnsi="Times New Roman" w:cs="Times New Roman"/>
          <w:sz w:val="24"/>
          <w:szCs w:val="24"/>
        </w:rPr>
        <w:t xml:space="preserve"> </w:t>
      </w:r>
      <w:proofErr w:type="spellStart"/>
      <w:r w:rsidRPr="00CA0286">
        <w:rPr>
          <w:rFonts w:ascii="Times New Roman" w:hAnsi="Times New Roman" w:cs="Times New Roman"/>
          <w:sz w:val="24"/>
          <w:szCs w:val="24"/>
          <w:u w:val="single"/>
        </w:rPr>
        <w:t>Demore</w:t>
      </w:r>
      <w:proofErr w:type="spellEnd"/>
      <w:r w:rsidRPr="00CA0286">
        <w:rPr>
          <w:rFonts w:ascii="Times New Roman" w:hAnsi="Times New Roman" w:cs="Times New Roman"/>
          <w:sz w:val="24"/>
          <w:szCs w:val="24"/>
        </w:rPr>
        <w:t xml:space="preserve">, 538 U.S. at 530 n.14 (“Respondent contends that the length of detention required to appeal may deter aliens from exercising their right to do so.  As we have explained before, however, the legal system is replete with situations requiring the making of difficult judgments as to which course to follow.”) (internal citations omitted); </w:t>
      </w:r>
      <w:proofErr w:type="spellStart"/>
      <w:r w:rsidRPr="00CA0286">
        <w:rPr>
          <w:rFonts w:ascii="Times New Roman" w:hAnsi="Times New Roman" w:cs="Times New Roman"/>
          <w:sz w:val="24"/>
          <w:szCs w:val="24"/>
          <w:u w:val="single"/>
        </w:rPr>
        <w:t>Zadvydas</w:t>
      </w:r>
      <w:proofErr w:type="spellEnd"/>
      <w:r w:rsidRPr="00CA0286">
        <w:rPr>
          <w:rFonts w:ascii="Times New Roman" w:hAnsi="Times New Roman" w:cs="Times New Roman"/>
          <w:sz w:val="24"/>
          <w:szCs w:val="24"/>
        </w:rPr>
        <w:t xml:space="preserve">, 533 U.S. at 713 (Kennedy, J., dissenting) (“Court ordered release cannot help but encourage dilatory and obstructive tactics by aliens.”); Gov't Supp. Br., </w:t>
      </w:r>
      <w:r w:rsidRPr="00CA0286">
        <w:rPr>
          <w:rFonts w:ascii="Times New Roman" w:hAnsi="Times New Roman" w:cs="Times New Roman"/>
          <w:sz w:val="24"/>
          <w:szCs w:val="24"/>
          <w:u w:val="single"/>
        </w:rPr>
        <w:t>Jennings v. Rodriguez</w:t>
      </w:r>
      <w:r w:rsidRPr="00CA0286">
        <w:rPr>
          <w:rFonts w:ascii="Times New Roman" w:hAnsi="Times New Roman" w:cs="Times New Roman"/>
          <w:sz w:val="24"/>
          <w:szCs w:val="24"/>
        </w:rPr>
        <w:t xml:space="preserve">, No. 15-1204, 2017 U.S. S. Ct. Briefs LEXIS 308, at *31 (Jan. 31, 2017) (“Of course, the government allows aliens in immigration detention pending removal proceedings to end those proceedings, at any time, by accepting a final order of removal, qualifying for voluntary departure, or, in some circumstances, by simply returning home.”); Br. of Amici Curiae Americans for Immigrant Justice, </w:t>
      </w:r>
      <w:r w:rsidRPr="00CA0286">
        <w:rPr>
          <w:rFonts w:ascii="Times New Roman" w:hAnsi="Times New Roman" w:cs="Times New Roman"/>
          <w:sz w:val="24"/>
          <w:szCs w:val="24"/>
          <w:u w:val="single"/>
        </w:rPr>
        <w:t>id.</w:t>
      </w:r>
      <w:r w:rsidRPr="00CA0286">
        <w:rPr>
          <w:rFonts w:ascii="Times New Roman" w:hAnsi="Times New Roman" w:cs="Times New Roman"/>
          <w:sz w:val="24"/>
          <w:szCs w:val="24"/>
        </w:rPr>
        <w:t xml:space="preserve">, 2017 U.S. S. Ct. Briefs LEXIS 454, at *48 (Feb. 10, 2017) (“As the stories of our clients and community members illustrate, acceptance of deportation in order to escape prolonged detention imposes life-altering burdens on constitutional liberties. These include the ability to care for family, live in the home one has purchased, and contribute to longtime communities.”); </w:t>
      </w:r>
      <w:r w:rsidRPr="00CA0286">
        <w:rPr>
          <w:rFonts w:ascii="Times New Roman" w:hAnsi="Times New Roman" w:cs="Times New Roman"/>
          <w:sz w:val="24"/>
          <w:szCs w:val="24"/>
          <w:u w:val="single"/>
        </w:rPr>
        <w:t>Id.</w:t>
      </w:r>
      <w:r w:rsidRPr="00CA0286">
        <w:rPr>
          <w:rFonts w:ascii="Times New Roman" w:hAnsi="Times New Roman" w:cs="Times New Roman"/>
          <w:sz w:val="24"/>
          <w:szCs w:val="24"/>
        </w:rPr>
        <w:t xml:space="preserve"> at *15 (“The government's position gravely undervalues the serious liberty interests at stake in this case. It ignores the unique harms caused by prolonged </w:t>
      </w:r>
      <w:r w:rsidRPr="00CA0286">
        <w:rPr>
          <w:rFonts w:ascii="Times New Roman" w:hAnsi="Times New Roman" w:cs="Times New Roman"/>
          <w:sz w:val="24"/>
          <w:szCs w:val="24"/>
        </w:rPr>
        <w:lastRenderedPageBreak/>
        <w:t>detention, above and beyond those caused by one's placement in removal proceedings. Its position effectively permits the punitive conditions of prolonged detention to coerce people into giving up their meritorious claims.”).</w:t>
      </w:r>
    </w:p>
    <w:p w14:paraId="3584D525" w14:textId="77777777" w:rsidR="00ED7089" w:rsidRPr="00CA0286" w:rsidRDefault="00ED7089"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CA0286">
        <w:rPr>
          <w:rFonts w:ascii="Times New Roman" w:hAnsi="Times New Roman" w:cs="Times New Roman"/>
          <w:b/>
          <w:sz w:val="24"/>
          <w:szCs w:val="24"/>
          <w:u w:val="single"/>
        </w:rPr>
        <w:t>CAUSE</w:t>
      </w:r>
      <w:r w:rsidR="00C3021A" w:rsidRPr="00CA0286">
        <w:rPr>
          <w:rFonts w:ascii="Times New Roman" w:hAnsi="Times New Roman" w:cs="Times New Roman"/>
          <w:b/>
          <w:sz w:val="24"/>
          <w:szCs w:val="24"/>
          <w:u w:val="single"/>
        </w:rPr>
        <w:t>S</w:t>
      </w:r>
      <w:r w:rsidRPr="00CA0286">
        <w:rPr>
          <w:rFonts w:ascii="Times New Roman" w:hAnsi="Times New Roman" w:cs="Times New Roman"/>
          <w:b/>
          <w:sz w:val="24"/>
          <w:szCs w:val="24"/>
          <w:u w:val="single"/>
        </w:rPr>
        <w:t xml:space="preserve"> OF ACTION</w:t>
      </w:r>
    </w:p>
    <w:p w14:paraId="43F1C17C" w14:textId="1280C283" w:rsidR="00DC6A25" w:rsidRPr="00CA0286" w:rsidRDefault="00DC6A25" w:rsidP="003E6896">
      <w:pPr>
        <w:widowControl w:val="0"/>
        <w:spacing w:after="0" w:line="480" w:lineRule="auto"/>
        <w:jc w:val="center"/>
        <w:rPr>
          <w:rFonts w:ascii="Times New Roman" w:hAnsi="Times New Roman" w:cs="Times New Roman"/>
          <w:b/>
          <w:sz w:val="24"/>
          <w:szCs w:val="24"/>
        </w:rPr>
      </w:pPr>
      <w:r w:rsidRPr="00CA0286">
        <w:rPr>
          <w:rFonts w:ascii="Times New Roman" w:hAnsi="Times New Roman" w:cs="Times New Roman"/>
          <w:b/>
          <w:sz w:val="24"/>
          <w:szCs w:val="24"/>
        </w:rPr>
        <w:t>COUNT ONE</w:t>
      </w:r>
      <w:r w:rsidR="005762BA" w:rsidRPr="00CA0286">
        <w:rPr>
          <w:rFonts w:ascii="Times New Roman" w:hAnsi="Times New Roman" w:cs="Times New Roman"/>
          <w:b/>
          <w:sz w:val="24"/>
          <w:szCs w:val="24"/>
        </w:rPr>
        <w:t>: VIOLATION OF 8 U.S.C. § 12</w:t>
      </w:r>
      <w:r w:rsidR="00FB6A99">
        <w:rPr>
          <w:rFonts w:ascii="Times New Roman" w:hAnsi="Times New Roman" w:cs="Times New Roman"/>
          <w:b/>
          <w:sz w:val="24"/>
          <w:szCs w:val="24"/>
        </w:rPr>
        <w:t>31</w:t>
      </w:r>
      <w:r w:rsidR="004251F0" w:rsidRPr="00CA0286">
        <w:rPr>
          <w:rFonts w:ascii="Times New Roman" w:hAnsi="Times New Roman" w:cs="Times New Roman"/>
          <w:b/>
          <w:sz w:val="24"/>
          <w:szCs w:val="24"/>
        </w:rPr>
        <w:t xml:space="preserve"> – PROLONGED DETENTION</w:t>
      </w:r>
    </w:p>
    <w:p w14:paraId="2C98921B" w14:textId="77777777" w:rsidR="002B5F47" w:rsidRPr="00CA0286" w:rsidRDefault="002B5F47" w:rsidP="002B5F47">
      <w:pPr>
        <w:pStyle w:val="ListParagraph"/>
        <w:numPr>
          <w:ilvl w:val="0"/>
          <w:numId w:val="3"/>
        </w:numPr>
        <w:spacing w:after="200" w:line="480" w:lineRule="auto"/>
        <w:rPr>
          <w:rFonts w:ascii="Times New Roman" w:hAnsi="Times New Roman" w:cs="Times New Roman"/>
          <w:sz w:val="24"/>
          <w:szCs w:val="24"/>
        </w:rPr>
      </w:pPr>
      <w:r w:rsidRPr="00CA0286">
        <w:rPr>
          <w:rFonts w:ascii="Times New Roman" w:hAnsi="Times New Roman" w:cs="Times New Roman"/>
          <w:sz w:val="24"/>
          <w:szCs w:val="24"/>
        </w:rPr>
        <w:t>Petitioner re-alleges and incorporates by reference the paragraphs above.</w:t>
      </w:r>
    </w:p>
    <w:p w14:paraId="369509D9" w14:textId="59945DA7" w:rsidR="00FB6A99" w:rsidRDefault="00FB6A99" w:rsidP="008A67D3">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Petitioner’s detention has exceeded the six-month presumptive threshold under </w:t>
      </w:r>
      <w:proofErr w:type="spellStart"/>
      <w:r>
        <w:rPr>
          <w:rFonts w:ascii="Times New Roman" w:hAnsi="Times New Roman" w:cs="Times New Roman"/>
          <w:sz w:val="24"/>
          <w:szCs w:val="24"/>
          <w:u w:val="single"/>
        </w:rPr>
        <w:t>Zadvydas</w:t>
      </w:r>
      <w:proofErr w:type="spellEnd"/>
      <w:r>
        <w:rPr>
          <w:rFonts w:ascii="Times New Roman" w:hAnsi="Times New Roman" w:cs="Times New Roman"/>
          <w:sz w:val="24"/>
          <w:szCs w:val="24"/>
        </w:rPr>
        <w:t xml:space="preserve">, as he has now been detained for </w:t>
      </w:r>
      <w:r w:rsidR="00450E74" w:rsidRPr="001F0A23">
        <w:rPr>
          <w:rFonts w:ascii="Times New Roman" w:hAnsi="Times New Roman" w:cs="Times New Roman"/>
          <w:sz w:val="24"/>
          <w:szCs w:val="24"/>
        </w:rPr>
        <w:t>264</w:t>
      </w:r>
      <w:r>
        <w:rPr>
          <w:rFonts w:ascii="Times New Roman" w:hAnsi="Times New Roman" w:cs="Times New Roman"/>
          <w:sz w:val="24"/>
          <w:szCs w:val="24"/>
        </w:rPr>
        <w:t xml:space="preserve"> days under § 1231</w:t>
      </w:r>
      <w:r w:rsidR="00450E74">
        <w:rPr>
          <w:rFonts w:ascii="Times New Roman" w:hAnsi="Times New Roman" w:cs="Times New Roman"/>
          <w:sz w:val="24"/>
          <w:szCs w:val="24"/>
        </w:rPr>
        <w:t>, and a total of 650 days in Respondents’ custody</w:t>
      </w:r>
      <w:r>
        <w:rPr>
          <w:rFonts w:ascii="Times New Roman" w:hAnsi="Times New Roman" w:cs="Times New Roman"/>
          <w:sz w:val="24"/>
          <w:szCs w:val="24"/>
        </w:rPr>
        <w:t>.</w:t>
      </w:r>
    </w:p>
    <w:p w14:paraId="7383273A" w14:textId="60900A15" w:rsidR="00FB6A99" w:rsidRDefault="005714F5" w:rsidP="008A67D3">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Although Respondents purportedly possess a valid travel document for Petitioner, Respondents are legally prohibited from removing Petitioner, while his appeal is pending at the BIA.  Once that appeal is determined, there is no possible outcome where Petitioner would become removable as a result.  If the BIA grants reopening, his removal order will be vacated.  If the BIA remands to the Immigration Court, it should do so with a stay in place.  If the BIA denies the appeal, Petitioner will receive an automatic stay from the Circuit Court as soon as he can file a petition for review.  There is no other outcome.  There is no definite timeframe for the BIA to issue a decision; it could be tomorrow, or it could be a year from now.  Added to the uncertainty of when that decision will be made, Petitioner’s removability will depend on the actions of at least one other court, and the time for that decision will be uncertain as well.</w:t>
      </w:r>
    </w:p>
    <w:p w14:paraId="452CABA6" w14:textId="0AC09F0E" w:rsidR="008A67D3" w:rsidRPr="00CA0286" w:rsidRDefault="008A67D3" w:rsidP="008A67D3">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Therefore, 8 U.S.C. § 12</w:t>
      </w:r>
      <w:r w:rsidR="005714F5">
        <w:rPr>
          <w:rFonts w:ascii="Times New Roman" w:hAnsi="Times New Roman" w:cs="Times New Roman"/>
          <w:sz w:val="24"/>
          <w:szCs w:val="24"/>
        </w:rPr>
        <w:t xml:space="preserve">31 </w:t>
      </w:r>
      <w:r w:rsidRPr="00CA0286">
        <w:rPr>
          <w:rFonts w:ascii="Times New Roman" w:hAnsi="Times New Roman" w:cs="Times New Roman"/>
          <w:sz w:val="24"/>
          <w:szCs w:val="24"/>
        </w:rPr>
        <w:t xml:space="preserve">does not authorize detention of Petitioner as </w:t>
      </w:r>
      <w:r w:rsidR="005714F5">
        <w:rPr>
          <w:rFonts w:ascii="Times New Roman" w:hAnsi="Times New Roman" w:cs="Times New Roman"/>
          <w:sz w:val="24"/>
          <w:szCs w:val="24"/>
        </w:rPr>
        <w:t>removal is no longer likely to occur in the reasonably foreseeable future</w:t>
      </w:r>
      <w:r w:rsidRPr="00CA0286">
        <w:rPr>
          <w:rFonts w:ascii="Times New Roman" w:hAnsi="Times New Roman" w:cs="Times New Roman"/>
          <w:sz w:val="24"/>
          <w:szCs w:val="24"/>
        </w:rPr>
        <w:t>.</w:t>
      </w:r>
    </w:p>
    <w:p w14:paraId="5EF5A385" w14:textId="77777777" w:rsidR="003573E5" w:rsidRDefault="004251F0" w:rsidP="003573E5">
      <w:pPr>
        <w:widowControl w:val="0"/>
        <w:spacing w:after="0" w:line="240" w:lineRule="auto"/>
        <w:jc w:val="center"/>
        <w:rPr>
          <w:rFonts w:ascii="Times New Roman" w:hAnsi="Times New Roman" w:cs="Times New Roman"/>
          <w:b/>
          <w:sz w:val="24"/>
          <w:szCs w:val="24"/>
        </w:rPr>
      </w:pPr>
      <w:r w:rsidRPr="00CA0286">
        <w:rPr>
          <w:rFonts w:ascii="Times New Roman" w:hAnsi="Times New Roman" w:cs="Times New Roman"/>
          <w:b/>
          <w:sz w:val="24"/>
          <w:szCs w:val="24"/>
        </w:rPr>
        <w:t xml:space="preserve">COUNT </w:t>
      </w:r>
      <w:r w:rsidR="005D068F">
        <w:rPr>
          <w:rFonts w:ascii="Times New Roman" w:hAnsi="Times New Roman" w:cs="Times New Roman"/>
          <w:b/>
          <w:sz w:val="24"/>
          <w:szCs w:val="24"/>
        </w:rPr>
        <w:t>TWO</w:t>
      </w:r>
      <w:r w:rsidRPr="00CA0286">
        <w:rPr>
          <w:rFonts w:ascii="Times New Roman" w:hAnsi="Times New Roman" w:cs="Times New Roman"/>
          <w:b/>
          <w:sz w:val="24"/>
          <w:szCs w:val="24"/>
        </w:rPr>
        <w:t xml:space="preserve">: </w:t>
      </w:r>
      <w:r w:rsidR="005714F5" w:rsidRPr="00CA0286">
        <w:rPr>
          <w:rFonts w:ascii="Times New Roman" w:hAnsi="Times New Roman" w:cs="Times New Roman"/>
          <w:b/>
          <w:sz w:val="24"/>
          <w:szCs w:val="24"/>
        </w:rPr>
        <w:t>VIOLATION OF FIFTH AMENDMENT</w:t>
      </w:r>
    </w:p>
    <w:p w14:paraId="70885B5C" w14:textId="2AF0478D" w:rsidR="005714F5" w:rsidRPr="00CA0286" w:rsidRDefault="003573E5" w:rsidP="005714F5">
      <w:pPr>
        <w:widowControl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SUBSTANTIVE DUE PROCESS</w:t>
      </w:r>
    </w:p>
    <w:p w14:paraId="3A25DC39" w14:textId="77777777" w:rsidR="005714F5" w:rsidRPr="00CA0286" w:rsidRDefault="005714F5" w:rsidP="005714F5">
      <w:pPr>
        <w:pStyle w:val="ListParagraph"/>
        <w:numPr>
          <w:ilvl w:val="0"/>
          <w:numId w:val="3"/>
        </w:numPr>
        <w:spacing w:after="200" w:line="480" w:lineRule="auto"/>
        <w:rPr>
          <w:rFonts w:ascii="Times New Roman" w:hAnsi="Times New Roman" w:cs="Times New Roman"/>
          <w:sz w:val="24"/>
          <w:szCs w:val="24"/>
        </w:rPr>
      </w:pPr>
      <w:r w:rsidRPr="00CA0286">
        <w:rPr>
          <w:rFonts w:ascii="Times New Roman" w:hAnsi="Times New Roman" w:cs="Times New Roman"/>
          <w:sz w:val="24"/>
          <w:szCs w:val="24"/>
        </w:rPr>
        <w:lastRenderedPageBreak/>
        <w:t>Petitioner re-alleges and incorporates by reference the paragraphs above.</w:t>
      </w:r>
    </w:p>
    <w:p w14:paraId="597E3DAA" w14:textId="320F8EF4" w:rsidR="005714F5" w:rsidRPr="00FA25AF" w:rsidRDefault="005714F5" w:rsidP="005714F5">
      <w:pPr>
        <w:pStyle w:val="ListParagraph"/>
        <w:widowControl w:val="0"/>
        <w:numPr>
          <w:ilvl w:val="0"/>
          <w:numId w:val="3"/>
        </w:numPr>
        <w:spacing w:after="0" w:line="480" w:lineRule="auto"/>
        <w:rPr>
          <w:rFonts w:ascii="Times New Roman" w:hAnsi="Times New Roman" w:cs="Times New Roman"/>
          <w:sz w:val="24"/>
          <w:szCs w:val="24"/>
        </w:rPr>
      </w:pPr>
      <w:r w:rsidRPr="00CA0286">
        <w:rPr>
          <w:rFonts w:ascii="Times New Roman" w:hAnsi="Times New Roman" w:cs="Times New Roman"/>
          <w:sz w:val="24"/>
          <w:szCs w:val="24"/>
        </w:rPr>
        <w:t>The Fifth Amendment Due Process Clause protects against arbitrary</w:t>
      </w:r>
      <w:r>
        <w:rPr>
          <w:rFonts w:ascii="Times New Roman" w:hAnsi="Times New Roman" w:cs="Times New Roman"/>
          <w:sz w:val="24"/>
          <w:szCs w:val="24"/>
        </w:rPr>
        <w:t xml:space="preserve"> and indefinite</w:t>
      </w:r>
      <w:r w:rsidRPr="00CA0286">
        <w:rPr>
          <w:rFonts w:ascii="Times New Roman" w:hAnsi="Times New Roman" w:cs="Times New Roman"/>
          <w:sz w:val="24"/>
          <w:szCs w:val="24"/>
        </w:rPr>
        <w:t xml:space="preserve"> </w:t>
      </w:r>
      <w:r w:rsidRPr="00FA25AF">
        <w:rPr>
          <w:rFonts w:ascii="Times New Roman" w:hAnsi="Times New Roman" w:cs="Times New Roman"/>
          <w:sz w:val="24"/>
          <w:szCs w:val="24"/>
        </w:rPr>
        <w:t xml:space="preserve">detention by the executive branch. </w:t>
      </w:r>
      <w:proofErr w:type="spellStart"/>
      <w:r w:rsidRPr="00FA25AF">
        <w:rPr>
          <w:rFonts w:ascii="Times New Roman" w:hAnsi="Times New Roman" w:cs="Times New Roman"/>
          <w:sz w:val="24"/>
          <w:szCs w:val="24"/>
          <w:u w:val="single"/>
        </w:rPr>
        <w:t>Zadvydas</w:t>
      </w:r>
      <w:proofErr w:type="spellEnd"/>
      <w:r w:rsidRPr="00FA25AF">
        <w:rPr>
          <w:rFonts w:ascii="Times New Roman" w:hAnsi="Times New Roman" w:cs="Times New Roman"/>
          <w:sz w:val="24"/>
          <w:szCs w:val="24"/>
        </w:rPr>
        <w:t xml:space="preserve">, 533 U.S. at 699. </w:t>
      </w:r>
    </w:p>
    <w:p w14:paraId="5B107D1F" w14:textId="592A2FD7" w:rsidR="005714F5" w:rsidRDefault="005714F5" w:rsidP="005714F5">
      <w:pPr>
        <w:pStyle w:val="ListParagraph"/>
        <w:widowControl w:val="0"/>
        <w:numPr>
          <w:ilvl w:val="0"/>
          <w:numId w:val="3"/>
        </w:numPr>
        <w:spacing w:after="0" w:line="480" w:lineRule="auto"/>
        <w:rPr>
          <w:rFonts w:ascii="Times New Roman" w:hAnsi="Times New Roman" w:cs="Times New Roman"/>
          <w:sz w:val="24"/>
          <w:szCs w:val="24"/>
        </w:rPr>
      </w:pPr>
      <w:r w:rsidRPr="00FA25AF">
        <w:rPr>
          <w:rFonts w:ascii="Times New Roman" w:hAnsi="Times New Roman" w:cs="Times New Roman"/>
          <w:sz w:val="24"/>
          <w:szCs w:val="24"/>
        </w:rPr>
        <w:t xml:space="preserve">Due process requires that detention be reasonably related to its purpose and accompanied by adequate procedures to ensure that detention is serving its legitimate goals. </w:t>
      </w:r>
      <w:r w:rsidRPr="00FA25AF">
        <w:rPr>
          <w:rFonts w:ascii="Times New Roman" w:hAnsi="Times New Roman" w:cs="Times New Roman"/>
          <w:sz w:val="24"/>
          <w:szCs w:val="24"/>
          <w:u w:val="single"/>
        </w:rPr>
        <w:t>See</w:t>
      </w:r>
      <w:r w:rsidRPr="00FA25AF">
        <w:rPr>
          <w:rFonts w:ascii="Times New Roman" w:hAnsi="Times New Roman" w:cs="Times New Roman"/>
          <w:sz w:val="24"/>
          <w:szCs w:val="24"/>
        </w:rPr>
        <w:t xml:space="preserve"> </w:t>
      </w:r>
      <w:proofErr w:type="spellStart"/>
      <w:r w:rsidRPr="00FA25AF">
        <w:rPr>
          <w:rFonts w:ascii="Times New Roman" w:hAnsi="Times New Roman" w:cs="Times New Roman"/>
          <w:sz w:val="24"/>
          <w:szCs w:val="24"/>
          <w:u w:val="single"/>
        </w:rPr>
        <w:t>Zadvydas</w:t>
      </w:r>
      <w:proofErr w:type="spellEnd"/>
      <w:r w:rsidRPr="00FA25AF">
        <w:rPr>
          <w:rFonts w:ascii="Times New Roman" w:hAnsi="Times New Roman" w:cs="Times New Roman"/>
          <w:sz w:val="24"/>
          <w:szCs w:val="24"/>
        </w:rPr>
        <w:t xml:space="preserve">, 533 U.S. at 690-91. As removal is no longer reasonably foreseeable for Petitioner—in fact, it is a near impossibility—his detention is arbitrary and unreasonable, and therefore in violation of the Fifth Amendment’s guarantee of Due Process.  </w:t>
      </w:r>
    </w:p>
    <w:p w14:paraId="059A5354" w14:textId="210AF3FA" w:rsidR="003573E5" w:rsidRDefault="003573E5" w:rsidP="003573E5">
      <w:pPr>
        <w:widowControl w:val="0"/>
        <w:spacing w:after="0" w:line="240" w:lineRule="auto"/>
        <w:jc w:val="center"/>
        <w:rPr>
          <w:rFonts w:ascii="Times New Roman" w:hAnsi="Times New Roman" w:cs="Times New Roman"/>
          <w:b/>
          <w:sz w:val="24"/>
          <w:szCs w:val="24"/>
        </w:rPr>
      </w:pPr>
      <w:r w:rsidRPr="003573E5">
        <w:rPr>
          <w:rFonts w:ascii="Times New Roman" w:hAnsi="Times New Roman" w:cs="Times New Roman"/>
          <w:b/>
          <w:sz w:val="24"/>
          <w:szCs w:val="24"/>
        </w:rPr>
        <w:t xml:space="preserve">COUNT THREE: VIOLATION OF THE </w:t>
      </w:r>
      <w:r>
        <w:rPr>
          <w:rFonts w:ascii="Times New Roman" w:hAnsi="Times New Roman" w:cs="Times New Roman"/>
          <w:b/>
          <w:sz w:val="24"/>
          <w:szCs w:val="24"/>
        </w:rPr>
        <w:t>FIFTH</w:t>
      </w:r>
      <w:r w:rsidRPr="003573E5">
        <w:rPr>
          <w:rFonts w:ascii="Times New Roman" w:hAnsi="Times New Roman" w:cs="Times New Roman"/>
          <w:b/>
          <w:sz w:val="24"/>
          <w:szCs w:val="24"/>
        </w:rPr>
        <w:t xml:space="preserve"> AMENDMENT</w:t>
      </w:r>
    </w:p>
    <w:p w14:paraId="3C3E7F62" w14:textId="58E2DA69" w:rsidR="003573E5" w:rsidRPr="003573E5" w:rsidRDefault="003573E5" w:rsidP="003573E5">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PROCEDURAL DUE PROCESS</w:t>
      </w:r>
    </w:p>
    <w:p w14:paraId="4E579473" w14:textId="6D9989A0" w:rsidR="00FA25AF" w:rsidRPr="00FA25AF" w:rsidRDefault="00FA25AF" w:rsidP="005714F5">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Due process is further violated by Respondents’ failure to follow its regulations and failure to exercise discretion in issuing its Decision to Continue Detention under </w:t>
      </w:r>
      <w:proofErr w:type="spellStart"/>
      <w:r>
        <w:rPr>
          <w:rFonts w:ascii="Times New Roman" w:hAnsi="Times New Roman" w:cs="Times New Roman"/>
          <w:sz w:val="24"/>
          <w:szCs w:val="24"/>
          <w:u w:val="single"/>
        </w:rPr>
        <w:t>Accardi</w:t>
      </w:r>
      <w:proofErr w:type="spellEnd"/>
      <w:r>
        <w:rPr>
          <w:rFonts w:ascii="Times New Roman" w:hAnsi="Times New Roman" w:cs="Times New Roman"/>
          <w:sz w:val="24"/>
          <w:szCs w:val="24"/>
        </w:rPr>
        <w:t xml:space="preserve">.  Petitioner and counsel provided Respondents with sufficient information and evidence to meet the criteria and factors enumerated in 8 C.F.R. §§ 241.4(e) and (f).  This information was ignored, and the decision to continue detention appears to have been made solely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a purported travel document.  However, 8 C.F.R. § 241.4(e)(1) makes clear that a travel document alone, where </w:t>
      </w:r>
      <w:r w:rsidR="003573E5">
        <w:rPr>
          <w:rFonts w:ascii="Times New Roman" w:hAnsi="Times New Roman" w:cs="Times New Roman"/>
          <w:sz w:val="24"/>
          <w:szCs w:val="24"/>
        </w:rPr>
        <w:t xml:space="preserve">removal is not practicable, is insufficient to bar release.  </w:t>
      </w:r>
      <w:r w:rsidR="003573E5">
        <w:rPr>
          <w:rFonts w:ascii="Times New Roman" w:hAnsi="Times New Roman" w:cs="Times New Roman"/>
          <w:sz w:val="24"/>
          <w:szCs w:val="24"/>
          <w:u w:val="single"/>
        </w:rPr>
        <w:t>See also</w:t>
      </w:r>
      <w:r w:rsidR="003573E5">
        <w:rPr>
          <w:rFonts w:ascii="Times New Roman" w:hAnsi="Times New Roman" w:cs="Times New Roman"/>
          <w:sz w:val="24"/>
          <w:szCs w:val="24"/>
        </w:rPr>
        <w:t xml:space="preserve"> </w:t>
      </w:r>
      <w:r w:rsidR="003573E5">
        <w:rPr>
          <w:rFonts w:ascii="Times New Roman" w:hAnsi="Times New Roman" w:cs="Times New Roman"/>
          <w:sz w:val="24"/>
          <w:szCs w:val="24"/>
          <w:u w:val="single"/>
        </w:rPr>
        <w:t>id.</w:t>
      </w:r>
      <w:r w:rsidR="003573E5">
        <w:rPr>
          <w:rFonts w:ascii="Times New Roman" w:hAnsi="Times New Roman" w:cs="Times New Roman"/>
          <w:sz w:val="24"/>
          <w:szCs w:val="24"/>
        </w:rPr>
        <w:t xml:space="preserve"> at § 241.13(f) (outlining factors to consider when determining whether removal is likely in the reasonably foreseeable future).  Such a decision is therefore not in line with agency </w:t>
      </w:r>
      <w:proofErr w:type="gramStart"/>
      <w:r w:rsidR="003573E5">
        <w:rPr>
          <w:rFonts w:ascii="Times New Roman" w:hAnsi="Times New Roman" w:cs="Times New Roman"/>
          <w:sz w:val="24"/>
          <w:szCs w:val="24"/>
        </w:rPr>
        <w:t>regulations, and</w:t>
      </w:r>
      <w:proofErr w:type="gramEnd"/>
      <w:r w:rsidR="003573E5">
        <w:rPr>
          <w:rFonts w:ascii="Times New Roman" w:hAnsi="Times New Roman" w:cs="Times New Roman"/>
          <w:sz w:val="24"/>
          <w:szCs w:val="24"/>
        </w:rPr>
        <w:t xml:space="preserve"> constitutes both a violation of procedural due process and an arbitrary and capricious exercise of agency authority.</w:t>
      </w:r>
    </w:p>
    <w:p w14:paraId="353E1CFA" w14:textId="7EDB9385" w:rsidR="005714F5" w:rsidRPr="00CA0286" w:rsidRDefault="008D3D6B" w:rsidP="005714F5">
      <w:pPr>
        <w:widowControl w:val="0"/>
        <w:spacing w:after="0" w:line="480" w:lineRule="auto"/>
        <w:jc w:val="center"/>
        <w:rPr>
          <w:rFonts w:ascii="Times New Roman" w:hAnsi="Times New Roman" w:cs="Times New Roman"/>
          <w:sz w:val="24"/>
          <w:szCs w:val="24"/>
        </w:rPr>
      </w:pPr>
      <w:r w:rsidRPr="00CA0286">
        <w:rPr>
          <w:rFonts w:ascii="Times New Roman" w:hAnsi="Times New Roman" w:cs="Times New Roman"/>
          <w:b/>
          <w:sz w:val="24"/>
          <w:szCs w:val="24"/>
        </w:rPr>
        <w:t xml:space="preserve">COUNT </w:t>
      </w:r>
      <w:r w:rsidR="003573E5">
        <w:rPr>
          <w:rFonts w:ascii="Times New Roman" w:hAnsi="Times New Roman" w:cs="Times New Roman"/>
          <w:b/>
          <w:sz w:val="24"/>
          <w:szCs w:val="24"/>
        </w:rPr>
        <w:t>FOUR</w:t>
      </w:r>
      <w:r w:rsidRPr="00CA0286">
        <w:rPr>
          <w:rFonts w:ascii="Times New Roman" w:hAnsi="Times New Roman" w:cs="Times New Roman"/>
          <w:b/>
          <w:sz w:val="24"/>
          <w:szCs w:val="24"/>
        </w:rPr>
        <w:t xml:space="preserve">: </w:t>
      </w:r>
      <w:r w:rsidR="005714F5" w:rsidRPr="00CA0286">
        <w:rPr>
          <w:rFonts w:ascii="Times New Roman" w:hAnsi="Times New Roman" w:cs="Times New Roman"/>
          <w:b/>
          <w:sz w:val="24"/>
          <w:szCs w:val="24"/>
        </w:rPr>
        <w:t>VIOLATION OF THE FOURTH AMENDMENT</w:t>
      </w:r>
    </w:p>
    <w:p w14:paraId="2AEA7505" w14:textId="77777777" w:rsidR="005714F5" w:rsidRPr="00CA0286" w:rsidRDefault="005714F5" w:rsidP="005714F5">
      <w:pPr>
        <w:pStyle w:val="ListParagraph"/>
        <w:numPr>
          <w:ilvl w:val="0"/>
          <w:numId w:val="3"/>
        </w:numPr>
        <w:spacing w:after="200" w:line="480" w:lineRule="auto"/>
        <w:rPr>
          <w:rFonts w:ascii="Times New Roman" w:hAnsi="Times New Roman" w:cs="Times New Roman"/>
          <w:sz w:val="24"/>
          <w:szCs w:val="24"/>
        </w:rPr>
      </w:pPr>
      <w:r w:rsidRPr="00CA0286">
        <w:rPr>
          <w:rFonts w:ascii="Times New Roman" w:hAnsi="Times New Roman" w:cs="Times New Roman"/>
          <w:sz w:val="24"/>
          <w:szCs w:val="24"/>
        </w:rPr>
        <w:t>Petitioner re-alleges and incorporates by reference the paragraphs above.</w:t>
      </w:r>
    </w:p>
    <w:p w14:paraId="7F97FE41" w14:textId="77777777" w:rsidR="005714F5" w:rsidRPr="00FB6A99" w:rsidRDefault="005714F5" w:rsidP="005714F5">
      <w:pPr>
        <w:pStyle w:val="ListParagraph"/>
        <w:widowControl w:val="0"/>
        <w:numPr>
          <w:ilvl w:val="0"/>
          <w:numId w:val="3"/>
        </w:numPr>
        <w:spacing w:after="0" w:line="480" w:lineRule="auto"/>
        <w:rPr>
          <w:rFonts w:ascii="Times New Roman" w:hAnsi="Times New Roman" w:cs="Times New Roman"/>
          <w:sz w:val="24"/>
          <w:szCs w:val="24"/>
        </w:rPr>
      </w:pPr>
      <w:r w:rsidRPr="00FB6A99">
        <w:rPr>
          <w:rFonts w:ascii="Times New Roman" w:hAnsi="Times New Roman" w:cs="Times New Roman"/>
          <w:sz w:val="24"/>
          <w:szCs w:val="24"/>
        </w:rPr>
        <w:t xml:space="preserve">The Fourth Amendment prohibits unreasonable seizures and does not allow the detention </w:t>
      </w:r>
      <w:r w:rsidRPr="00FB6A99">
        <w:rPr>
          <w:rFonts w:ascii="Times New Roman" w:hAnsi="Times New Roman" w:cs="Times New Roman"/>
          <w:sz w:val="24"/>
          <w:szCs w:val="24"/>
        </w:rPr>
        <w:lastRenderedPageBreak/>
        <w:t>of individuals without a sufficient legal reason. The Government must always justify civil detention. If civil detention is no longer justified by a legal reason, such detention is unconstitutional.</w:t>
      </w:r>
    </w:p>
    <w:p w14:paraId="050201B9" w14:textId="77777777" w:rsidR="005714F5" w:rsidRPr="00FB6A99" w:rsidRDefault="005714F5" w:rsidP="005714F5">
      <w:pPr>
        <w:pStyle w:val="ListParagraph"/>
        <w:widowControl w:val="0"/>
        <w:numPr>
          <w:ilvl w:val="0"/>
          <w:numId w:val="3"/>
        </w:numPr>
        <w:spacing w:after="0" w:line="480" w:lineRule="auto"/>
        <w:rPr>
          <w:rFonts w:ascii="Times New Roman" w:hAnsi="Times New Roman" w:cs="Times New Roman"/>
          <w:sz w:val="24"/>
          <w:szCs w:val="24"/>
        </w:rPr>
      </w:pPr>
      <w:r w:rsidRPr="00FB6A99">
        <w:rPr>
          <w:rFonts w:ascii="Times New Roman" w:hAnsi="Times New Roman" w:cs="Times New Roman"/>
          <w:sz w:val="24"/>
          <w:szCs w:val="24"/>
        </w:rPr>
        <w:t>Civil detention in the immigration context has been permitted when it is to make sure that an individual appears at removal proceedings or to make sure that an individual will appear for removal. As removal is not reasonably foreseeable for Petitioner, the Constitution does not permit it.</w:t>
      </w:r>
    </w:p>
    <w:p w14:paraId="3908BE4B" w14:textId="77777777" w:rsidR="005714F5" w:rsidRPr="00FB6A99" w:rsidRDefault="005714F5" w:rsidP="005714F5">
      <w:pPr>
        <w:pStyle w:val="ListParagraph"/>
        <w:widowControl w:val="0"/>
        <w:numPr>
          <w:ilvl w:val="0"/>
          <w:numId w:val="3"/>
        </w:numPr>
        <w:spacing w:after="0" w:line="480" w:lineRule="auto"/>
        <w:rPr>
          <w:rFonts w:ascii="Times New Roman" w:hAnsi="Times New Roman" w:cs="Times New Roman"/>
          <w:sz w:val="24"/>
          <w:szCs w:val="24"/>
        </w:rPr>
      </w:pPr>
      <w:r w:rsidRPr="00FB6A99">
        <w:rPr>
          <w:rFonts w:ascii="Times New Roman" w:hAnsi="Times New Roman" w:cs="Times New Roman"/>
          <w:sz w:val="24"/>
          <w:szCs w:val="24"/>
        </w:rPr>
        <w:t>Because Petitioner has not been released despite his removal not being reasonably foreseeable, lack of dangerousness, and lack of flight risk, his continued detention violates the Fourth Amendment.</w:t>
      </w:r>
    </w:p>
    <w:p w14:paraId="7D1AAD11" w14:textId="3CF70F26" w:rsidR="003B05F8" w:rsidRPr="00A22CA0" w:rsidRDefault="005714F5" w:rsidP="00A22CA0">
      <w:pPr>
        <w:pStyle w:val="ListParagraph"/>
        <w:widowControl w:val="0"/>
        <w:numPr>
          <w:ilvl w:val="0"/>
          <w:numId w:val="3"/>
        </w:numPr>
        <w:spacing w:after="0" w:line="480" w:lineRule="auto"/>
        <w:rPr>
          <w:rFonts w:ascii="Times New Roman" w:hAnsi="Times New Roman" w:cs="Times New Roman"/>
          <w:sz w:val="24"/>
          <w:szCs w:val="24"/>
        </w:rPr>
      </w:pPr>
      <w:r w:rsidRPr="00FB6A99">
        <w:rPr>
          <w:rFonts w:ascii="Times New Roman" w:hAnsi="Times New Roman" w:cs="Times New Roman"/>
          <w:sz w:val="24"/>
          <w:szCs w:val="24"/>
        </w:rPr>
        <w:t>His detention further violates the Fourth Amendment as he was and has been improperly subjected to continued detention in violation of agency regulations.</w:t>
      </w:r>
    </w:p>
    <w:sectPr w:rsidR="003B05F8" w:rsidRPr="00A22C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7A54" w14:textId="77777777" w:rsidR="005A76F7" w:rsidRDefault="005A76F7" w:rsidP="00CF6A5E">
      <w:pPr>
        <w:spacing w:after="0" w:line="240" w:lineRule="auto"/>
      </w:pPr>
      <w:r>
        <w:separator/>
      </w:r>
    </w:p>
  </w:endnote>
  <w:endnote w:type="continuationSeparator" w:id="0">
    <w:p w14:paraId="40210EFE" w14:textId="77777777" w:rsidR="005A76F7" w:rsidRDefault="005A76F7" w:rsidP="00CF6A5E">
      <w:pPr>
        <w:spacing w:after="0" w:line="240" w:lineRule="auto"/>
      </w:pPr>
      <w:r>
        <w:continuationSeparator/>
      </w:r>
    </w:p>
  </w:endnote>
  <w:endnote w:type="continuationNotice" w:id="1">
    <w:p w14:paraId="3D1D9B26" w14:textId="77777777" w:rsidR="005A76F7" w:rsidRDefault="005A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4E4FCB22" w:rsidR="00F57FC2" w:rsidRPr="00B32BD3" w:rsidRDefault="00F57FC2"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8225" w14:textId="77777777" w:rsidR="005A76F7" w:rsidRDefault="005A76F7" w:rsidP="00CF6A5E">
      <w:pPr>
        <w:spacing w:after="0" w:line="240" w:lineRule="auto"/>
      </w:pPr>
      <w:r>
        <w:separator/>
      </w:r>
    </w:p>
  </w:footnote>
  <w:footnote w:type="continuationSeparator" w:id="0">
    <w:p w14:paraId="231395AA" w14:textId="77777777" w:rsidR="005A76F7" w:rsidRDefault="005A76F7" w:rsidP="00CF6A5E">
      <w:pPr>
        <w:spacing w:after="0" w:line="240" w:lineRule="auto"/>
      </w:pPr>
      <w:r>
        <w:continuationSeparator/>
      </w:r>
    </w:p>
  </w:footnote>
  <w:footnote w:type="continuationNotice" w:id="1">
    <w:p w14:paraId="5016C208" w14:textId="77777777" w:rsidR="005A76F7" w:rsidRDefault="005A7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4D9" w14:textId="77777777" w:rsidR="00F57FC2" w:rsidRDefault="00F57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4" w15:restartNumberingAfterBreak="0">
    <w:nsid w:val="58FD3D7A"/>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17466"/>
    <w:rsid w:val="000204CD"/>
    <w:rsid w:val="00021289"/>
    <w:rsid w:val="00026B00"/>
    <w:rsid w:val="00040E63"/>
    <w:rsid w:val="000564D4"/>
    <w:rsid w:val="0007340E"/>
    <w:rsid w:val="000830EE"/>
    <w:rsid w:val="00091002"/>
    <w:rsid w:val="000A0A89"/>
    <w:rsid w:val="000A547E"/>
    <w:rsid w:val="000A57ED"/>
    <w:rsid w:val="000B67CE"/>
    <w:rsid w:val="000C3D64"/>
    <w:rsid w:val="000C7F42"/>
    <w:rsid w:val="000E1947"/>
    <w:rsid w:val="000E3B78"/>
    <w:rsid w:val="000F12D5"/>
    <w:rsid w:val="000F19C6"/>
    <w:rsid w:val="000F3831"/>
    <w:rsid w:val="0010130D"/>
    <w:rsid w:val="00104374"/>
    <w:rsid w:val="0012162E"/>
    <w:rsid w:val="00125291"/>
    <w:rsid w:val="00134F58"/>
    <w:rsid w:val="00137784"/>
    <w:rsid w:val="00150A2F"/>
    <w:rsid w:val="001554B7"/>
    <w:rsid w:val="001578DE"/>
    <w:rsid w:val="00160B7D"/>
    <w:rsid w:val="001642DF"/>
    <w:rsid w:val="00165487"/>
    <w:rsid w:val="00173961"/>
    <w:rsid w:val="00177B84"/>
    <w:rsid w:val="0019108E"/>
    <w:rsid w:val="001A1BEC"/>
    <w:rsid w:val="001A4397"/>
    <w:rsid w:val="001B3C39"/>
    <w:rsid w:val="001B3D69"/>
    <w:rsid w:val="001C2E89"/>
    <w:rsid w:val="001E0150"/>
    <w:rsid w:val="001E06D9"/>
    <w:rsid w:val="001F0A23"/>
    <w:rsid w:val="001F7E37"/>
    <w:rsid w:val="00204D5C"/>
    <w:rsid w:val="00217925"/>
    <w:rsid w:val="002244E7"/>
    <w:rsid w:val="00241A25"/>
    <w:rsid w:val="002600AF"/>
    <w:rsid w:val="002673DA"/>
    <w:rsid w:val="0027015B"/>
    <w:rsid w:val="00273A8D"/>
    <w:rsid w:val="00280AF3"/>
    <w:rsid w:val="00296338"/>
    <w:rsid w:val="002974FF"/>
    <w:rsid w:val="002A15B7"/>
    <w:rsid w:val="002A66A0"/>
    <w:rsid w:val="002B1D87"/>
    <w:rsid w:val="002B4D7C"/>
    <w:rsid w:val="002B5F47"/>
    <w:rsid w:val="002C1062"/>
    <w:rsid w:val="002D2BE3"/>
    <w:rsid w:val="002D2C43"/>
    <w:rsid w:val="002D53F3"/>
    <w:rsid w:val="002E5BAF"/>
    <w:rsid w:val="0032641C"/>
    <w:rsid w:val="003267B3"/>
    <w:rsid w:val="00333634"/>
    <w:rsid w:val="003573E5"/>
    <w:rsid w:val="003730CC"/>
    <w:rsid w:val="0038212B"/>
    <w:rsid w:val="00382A3D"/>
    <w:rsid w:val="0039238D"/>
    <w:rsid w:val="00393D4B"/>
    <w:rsid w:val="003A4AA2"/>
    <w:rsid w:val="003B05F8"/>
    <w:rsid w:val="003B4004"/>
    <w:rsid w:val="003C1354"/>
    <w:rsid w:val="003C1721"/>
    <w:rsid w:val="003C1F43"/>
    <w:rsid w:val="003C3CE5"/>
    <w:rsid w:val="003C490C"/>
    <w:rsid w:val="003D7A21"/>
    <w:rsid w:val="003E6896"/>
    <w:rsid w:val="00414127"/>
    <w:rsid w:val="00423A90"/>
    <w:rsid w:val="0042496A"/>
    <w:rsid w:val="004251F0"/>
    <w:rsid w:val="0043203B"/>
    <w:rsid w:val="00436B8F"/>
    <w:rsid w:val="00442F01"/>
    <w:rsid w:val="004465AE"/>
    <w:rsid w:val="00450E74"/>
    <w:rsid w:val="00465221"/>
    <w:rsid w:val="004859FC"/>
    <w:rsid w:val="00494831"/>
    <w:rsid w:val="004A52AB"/>
    <w:rsid w:val="004A5BD8"/>
    <w:rsid w:val="004B3E37"/>
    <w:rsid w:val="004F4034"/>
    <w:rsid w:val="004F79FE"/>
    <w:rsid w:val="00525078"/>
    <w:rsid w:val="005254E6"/>
    <w:rsid w:val="00526E9D"/>
    <w:rsid w:val="00534814"/>
    <w:rsid w:val="00551717"/>
    <w:rsid w:val="00553BB3"/>
    <w:rsid w:val="00556A59"/>
    <w:rsid w:val="00557FFB"/>
    <w:rsid w:val="00561040"/>
    <w:rsid w:val="00564FB9"/>
    <w:rsid w:val="005714F5"/>
    <w:rsid w:val="0057294A"/>
    <w:rsid w:val="005762BA"/>
    <w:rsid w:val="0059144E"/>
    <w:rsid w:val="00592F85"/>
    <w:rsid w:val="005A76F7"/>
    <w:rsid w:val="005A793B"/>
    <w:rsid w:val="005B69E1"/>
    <w:rsid w:val="005D068F"/>
    <w:rsid w:val="005D78B1"/>
    <w:rsid w:val="005F3543"/>
    <w:rsid w:val="00603A78"/>
    <w:rsid w:val="0061546E"/>
    <w:rsid w:val="006231FF"/>
    <w:rsid w:val="00625F75"/>
    <w:rsid w:val="0064050E"/>
    <w:rsid w:val="00640CDD"/>
    <w:rsid w:val="00643FC5"/>
    <w:rsid w:val="006468A3"/>
    <w:rsid w:val="00650D8D"/>
    <w:rsid w:val="006647BA"/>
    <w:rsid w:val="006758BF"/>
    <w:rsid w:val="006829CA"/>
    <w:rsid w:val="00682D05"/>
    <w:rsid w:val="006952DD"/>
    <w:rsid w:val="006A0255"/>
    <w:rsid w:val="006A05F8"/>
    <w:rsid w:val="006A3DEB"/>
    <w:rsid w:val="006A44FD"/>
    <w:rsid w:val="006B0112"/>
    <w:rsid w:val="006B14CC"/>
    <w:rsid w:val="006F0858"/>
    <w:rsid w:val="00706A7C"/>
    <w:rsid w:val="00711397"/>
    <w:rsid w:val="00726C7E"/>
    <w:rsid w:val="00743337"/>
    <w:rsid w:val="007464DE"/>
    <w:rsid w:val="00753FDA"/>
    <w:rsid w:val="00777E41"/>
    <w:rsid w:val="00781589"/>
    <w:rsid w:val="00795AB9"/>
    <w:rsid w:val="007A4BF6"/>
    <w:rsid w:val="007B0051"/>
    <w:rsid w:val="007D7E23"/>
    <w:rsid w:val="007E4A77"/>
    <w:rsid w:val="007E60FD"/>
    <w:rsid w:val="007F1A7C"/>
    <w:rsid w:val="007F507D"/>
    <w:rsid w:val="007F56CD"/>
    <w:rsid w:val="008128AF"/>
    <w:rsid w:val="00817D5D"/>
    <w:rsid w:val="0082156B"/>
    <w:rsid w:val="00833AFB"/>
    <w:rsid w:val="00834FF7"/>
    <w:rsid w:val="00836D7E"/>
    <w:rsid w:val="00840C47"/>
    <w:rsid w:val="008447A9"/>
    <w:rsid w:val="00851642"/>
    <w:rsid w:val="00852B9A"/>
    <w:rsid w:val="00862AC7"/>
    <w:rsid w:val="00873A20"/>
    <w:rsid w:val="008A1349"/>
    <w:rsid w:val="008A14C7"/>
    <w:rsid w:val="008A333F"/>
    <w:rsid w:val="008A67D3"/>
    <w:rsid w:val="008A7D3E"/>
    <w:rsid w:val="008C15B2"/>
    <w:rsid w:val="008D3D6B"/>
    <w:rsid w:val="008D756D"/>
    <w:rsid w:val="008E0161"/>
    <w:rsid w:val="008E4377"/>
    <w:rsid w:val="008E4AC2"/>
    <w:rsid w:val="009060ED"/>
    <w:rsid w:val="009172FF"/>
    <w:rsid w:val="00921BCF"/>
    <w:rsid w:val="0092434F"/>
    <w:rsid w:val="00925ECB"/>
    <w:rsid w:val="0093452E"/>
    <w:rsid w:val="00935823"/>
    <w:rsid w:val="009362DA"/>
    <w:rsid w:val="00936E31"/>
    <w:rsid w:val="00950138"/>
    <w:rsid w:val="00950E10"/>
    <w:rsid w:val="009522EA"/>
    <w:rsid w:val="009532AF"/>
    <w:rsid w:val="00953AB1"/>
    <w:rsid w:val="00954E66"/>
    <w:rsid w:val="00980708"/>
    <w:rsid w:val="00981F78"/>
    <w:rsid w:val="00982DB3"/>
    <w:rsid w:val="0098365D"/>
    <w:rsid w:val="009C3AB8"/>
    <w:rsid w:val="009D4061"/>
    <w:rsid w:val="009D52B5"/>
    <w:rsid w:val="009E3820"/>
    <w:rsid w:val="009F63AF"/>
    <w:rsid w:val="00A01304"/>
    <w:rsid w:val="00A100E8"/>
    <w:rsid w:val="00A211FE"/>
    <w:rsid w:val="00A22CA0"/>
    <w:rsid w:val="00A22E68"/>
    <w:rsid w:val="00A30C1D"/>
    <w:rsid w:val="00A37192"/>
    <w:rsid w:val="00A44C89"/>
    <w:rsid w:val="00A50FE6"/>
    <w:rsid w:val="00A5396F"/>
    <w:rsid w:val="00A53DC1"/>
    <w:rsid w:val="00A5445C"/>
    <w:rsid w:val="00A549FF"/>
    <w:rsid w:val="00A62B74"/>
    <w:rsid w:val="00A67E2C"/>
    <w:rsid w:val="00A7507B"/>
    <w:rsid w:val="00A76820"/>
    <w:rsid w:val="00A777A5"/>
    <w:rsid w:val="00A84140"/>
    <w:rsid w:val="00A8599D"/>
    <w:rsid w:val="00A8626E"/>
    <w:rsid w:val="00AA0C42"/>
    <w:rsid w:val="00AB1C1D"/>
    <w:rsid w:val="00AB443A"/>
    <w:rsid w:val="00AC5FE1"/>
    <w:rsid w:val="00AD6C50"/>
    <w:rsid w:val="00AF6B48"/>
    <w:rsid w:val="00B043A2"/>
    <w:rsid w:val="00B13067"/>
    <w:rsid w:val="00B252BE"/>
    <w:rsid w:val="00B314B4"/>
    <w:rsid w:val="00B32BD3"/>
    <w:rsid w:val="00B34F6B"/>
    <w:rsid w:val="00B4142C"/>
    <w:rsid w:val="00B4251F"/>
    <w:rsid w:val="00B500C7"/>
    <w:rsid w:val="00B51B40"/>
    <w:rsid w:val="00B5337B"/>
    <w:rsid w:val="00B53A43"/>
    <w:rsid w:val="00B5494A"/>
    <w:rsid w:val="00B75957"/>
    <w:rsid w:val="00B8782C"/>
    <w:rsid w:val="00B93C81"/>
    <w:rsid w:val="00B9439E"/>
    <w:rsid w:val="00B94BED"/>
    <w:rsid w:val="00BA1E79"/>
    <w:rsid w:val="00BA5225"/>
    <w:rsid w:val="00BC1355"/>
    <w:rsid w:val="00BC1DE4"/>
    <w:rsid w:val="00BC26C8"/>
    <w:rsid w:val="00BE3B8A"/>
    <w:rsid w:val="00BF201F"/>
    <w:rsid w:val="00BF32F1"/>
    <w:rsid w:val="00BF6C5E"/>
    <w:rsid w:val="00BF6FDA"/>
    <w:rsid w:val="00C01F7E"/>
    <w:rsid w:val="00C040DC"/>
    <w:rsid w:val="00C14B7B"/>
    <w:rsid w:val="00C3021A"/>
    <w:rsid w:val="00C33E05"/>
    <w:rsid w:val="00C50AEF"/>
    <w:rsid w:val="00C576E9"/>
    <w:rsid w:val="00C80B9F"/>
    <w:rsid w:val="00C83955"/>
    <w:rsid w:val="00C85B58"/>
    <w:rsid w:val="00C86901"/>
    <w:rsid w:val="00C922C4"/>
    <w:rsid w:val="00C9799B"/>
    <w:rsid w:val="00CA0286"/>
    <w:rsid w:val="00CA4CC0"/>
    <w:rsid w:val="00CC4526"/>
    <w:rsid w:val="00CD0B14"/>
    <w:rsid w:val="00CD1772"/>
    <w:rsid w:val="00CD3335"/>
    <w:rsid w:val="00CD6CAC"/>
    <w:rsid w:val="00CE1213"/>
    <w:rsid w:val="00CE5A6F"/>
    <w:rsid w:val="00CE7599"/>
    <w:rsid w:val="00CF6A5E"/>
    <w:rsid w:val="00D041F0"/>
    <w:rsid w:val="00D14B97"/>
    <w:rsid w:val="00D25834"/>
    <w:rsid w:val="00D40D84"/>
    <w:rsid w:val="00D51F8E"/>
    <w:rsid w:val="00D54B2B"/>
    <w:rsid w:val="00D701E6"/>
    <w:rsid w:val="00D724E1"/>
    <w:rsid w:val="00D957CA"/>
    <w:rsid w:val="00DB1BDF"/>
    <w:rsid w:val="00DB3941"/>
    <w:rsid w:val="00DC6A25"/>
    <w:rsid w:val="00DD07C4"/>
    <w:rsid w:val="00DD267F"/>
    <w:rsid w:val="00DE0585"/>
    <w:rsid w:val="00DE1ACD"/>
    <w:rsid w:val="00DE460C"/>
    <w:rsid w:val="00DF2124"/>
    <w:rsid w:val="00DF321F"/>
    <w:rsid w:val="00E01DC1"/>
    <w:rsid w:val="00E03199"/>
    <w:rsid w:val="00E2228D"/>
    <w:rsid w:val="00E258D1"/>
    <w:rsid w:val="00E26E60"/>
    <w:rsid w:val="00E31D29"/>
    <w:rsid w:val="00E36104"/>
    <w:rsid w:val="00E36E22"/>
    <w:rsid w:val="00E42414"/>
    <w:rsid w:val="00E42D65"/>
    <w:rsid w:val="00E456E0"/>
    <w:rsid w:val="00E61BA1"/>
    <w:rsid w:val="00E73510"/>
    <w:rsid w:val="00E9429A"/>
    <w:rsid w:val="00E94A81"/>
    <w:rsid w:val="00EA481E"/>
    <w:rsid w:val="00EA794E"/>
    <w:rsid w:val="00EB164F"/>
    <w:rsid w:val="00EB39F8"/>
    <w:rsid w:val="00EB3C7D"/>
    <w:rsid w:val="00EB4233"/>
    <w:rsid w:val="00EB5570"/>
    <w:rsid w:val="00EB70E9"/>
    <w:rsid w:val="00EC7D8C"/>
    <w:rsid w:val="00ED01DF"/>
    <w:rsid w:val="00ED386D"/>
    <w:rsid w:val="00ED611A"/>
    <w:rsid w:val="00ED7089"/>
    <w:rsid w:val="00EE1E07"/>
    <w:rsid w:val="00EF2CF9"/>
    <w:rsid w:val="00EF33BE"/>
    <w:rsid w:val="00F20353"/>
    <w:rsid w:val="00F22D22"/>
    <w:rsid w:val="00F34FA8"/>
    <w:rsid w:val="00F35C46"/>
    <w:rsid w:val="00F46879"/>
    <w:rsid w:val="00F47E0B"/>
    <w:rsid w:val="00F56EEB"/>
    <w:rsid w:val="00F57FC2"/>
    <w:rsid w:val="00F6780E"/>
    <w:rsid w:val="00F7585D"/>
    <w:rsid w:val="00F83D34"/>
    <w:rsid w:val="00F84939"/>
    <w:rsid w:val="00F93875"/>
    <w:rsid w:val="00F9559E"/>
    <w:rsid w:val="00F961BF"/>
    <w:rsid w:val="00F96436"/>
    <w:rsid w:val="00FA25AF"/>
    <w:rsid w:val="00FB3051"/>
    <w:rsid w:val="00FB6A99"/>
    <w:rsid w:val="00FE3833"/>
    <w:rsid w:val="00FF5193"/>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A812330E-2EB7-4142-A8E7-345B0C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styleId="UnresolvedMention">
    <w:name w:val="Unresolved Mention"/>
    <w:basedOn w:val="DefaultParagraphFont"/>
    <w:uiPriority w:val="99"/>
    <w:semiHidden/>
    <w:unhideWhenUsed/>
    <w:rsid w:val="004859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7D55-5D2F-423D-9F94-6EF506E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1875</Words>
  <Characters>15396</Characters>
  <Application>Microsoft Office Word</Application>
  <DocSecurity>0</DocSecurity>
  <Lines>592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4</cp:revision>
  <cp:lastPrinted>2018-01-08T21:52:00Z</cp:lastPrinted>
  <dcterms:created xsi:type="dcterms:W3CDTF">2020-05-28T14:15:00Z</dcterms:created>
  <dcterms:modified xsi:type="dcterms:W3CDTF">2020-05-28T14:16:00Z</dcterms:modified>
</cp:coreProperties>
</file>